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[PRINTED ON ACQUIROR’S LETTERHEAD]</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w:t>
      </w:r>
      <w:r>
        <w:rPr>
          <w:rFonts w:ascii="Times New Roman" w:hAnsi="Times New Roman" w:eastAsia="Times New Roman" w:cs="Times New Roman"/>
          <w:sz w:val="24"/>
        </w:rPr>
        <w:t>N</w:t>
      </w:r>
      <w:r>
        <w:rPr>
          <w:rFonts w:ascii="Times New Roman" w:hAnsi="Times New Roman" w:eastAsia="Times New Roman" w:cs="Times New Roman"/>
          <w:sz w:val="24"/>
        </w:rPr>
        <w:t>ame of acquiror’s tax counsel]</w:t>
      </w:r>
    </w:p>
    <w:p>
      <w:pPr/>
      <w:r>
        <w:rPr>
          <w:rFonts w:ascii="Times New Roman" w:hAnsi="Times New Roman" w:eastAsia="Times New Roman" w:cs="Times New Roman"/>
          <w:sz w:val="24"/>
        </w:rPr>
        <w:t>[</w:t>
      </w:r>
      <w:r>
        <w:rPr>
          <w:rFonts w:ascii="Times New Roman" w:hAnsi="Times New Roman" w:eastAsia="Times New Roman" w:cs="Times New Roman"/>
          <w:sz w:val="24"/>
        </w:rPr>
        <w:t>A</w:t>
      </w:r>
      <w:r>
        <w:rPr>
          <w:rFonts w:ascii="Times New Roman" w:hAnsi="Times New Roman" w:eastAsia="Times New Roman" w:cs="Times New Roman"/>
          <w:sz w:val="24"/>
        </w:rPr>
        <w:t>ddress of acquiror’s tax counsel]</w:t>
      </w:r>
    </w:p>
    <w:p>
      <w:pPr/>
      <w:r>
        <w:rPr>
          <w:rFonts w:ascii="Times New Roman" w:hAnsi="Times New Roman" w:eastAsia="Times New Roman" w:cs="Times New Roman"/>
          <w:sz w:val="24"/>
        </w:rPr>
        <w:t>[</w:t>
      </w:r>
      <w:r>
        <w:rPr>
          <w:rFonts w:ascii="Times New Roman" w:hAnsi="Times New Roman" w:eastAsia="Times New Roman" w:cs="Times New Roman"/>
          <w:sz w:val="24"/>
        </w:rPr>
        <w:t>N</w:t>
      </w:r>
      <w:r>
        <w:rPr>
          <w:rFonts w:ascii="Times New Roman" w:hAnsi="Times New Roman" w:eastAsia="Times New Roman" w:cs="Times New Roman"/>
          <w:sz w:val="24"/>
        </w:rPr>
        <w:t>ame of target’s tax counsel]</w:t>
      </w:r>
    </w:p>
    <w:p>
      <w:pPr/>
      <w:r>
        <w:rPr>
          <w:rFonts w:ascii="Times New Roman" w:hAnsi="Times New Roman" w:eastAsia="Times New Roman" w:cs="Times New Roman"/>
          <w:sz w:val="24"/>
        </w:rPr>
        <w:t>[</w:t>
      </w:r>
      <w:r>
        <w:rPr>
          <w:rFonts w:ascii="Times New Roman" w:hAnsi="Times New Roman" w:eastAsia="Times New Roman" w:cs="Times New Roman"/>
          <w:sz w:val="24"/>
        </w:rPr>
        <w:t>A</w:t>
      </w:r>
      <w:r>
        <w:rPr>
          <w:rFonts w:ascii="Times New Roman" w:hAnsi="Times New Roman" w:eastAsia="Times New Roman" w:cs="Times New Roman"/>
          <w:sz w:val="24"/>
        </w:rPr>
        <w:t>ddress of target’s tax counsel]</w:t>
      </w:r>
    </w:p>
    <w:p>
      <w:pPr/>
      <w:r>
        <w:rPr>
          <w:rFonts w:ascii="Times New Roman" w:hAnsi="Times New Roman" w:eastAsia="Times New Roman" w:cs="Times New Roman"/>
          <w:sz w:val="24"/>
        </w:rPr>
        <w:t>Re: Tax Representation Letter for Agreement and Plan of Merger (the “Agreement”), dated as of [Date], by and among [Parent acquiror], a [jurisdiction in which formed] corporation (“Parent”), [Merger sub], a [jurisdiction in which formed] corporation and a wholly owned subsidiary of Parent (“Merger Sub”), and [Target], a [jurisdiction in which formed] corporation (the “Company”)</w:t>
      </w:r>
    </w:p>
    <w:p>
      <w:pPr/>
      <w:r>
        <w:rPr>
          <w:rFonts w:ascii="Times New Roman" w:hAnsi="Times New Roman" w:eastAsia="Times New Roman" w:cs="Times New Roman"/>
          <w:sz w:val="24"/>
        </w:rPr>
        <w:t>Ladies and Gentlemen:</w:t>
      </w:r>
    </w:p>
    <w:p>
      <w:pPr/>
      <w:r>
        <w:rPr>
          <w:rFonts w:ascii="Times New Roman" w:hAnsi="Times New Roman" w:eastAsia="Times New Roman" w:cs="Times New Roman"/>
          <w:sz w:val="24"/>
        </w:rPr>
        <w:t>In connection with the Merger</w:t>
      </w:r>
      <w:r>
        <w:rPr>
          <w:rFonts w:ascii="Times New Roman" w:hAnsi="Times New Roman" w:eastAsia="Times New Roman" w:cs="Times New Roman"/>
          <w:sz w:val="24"/>
        </w:rPr>
        <w:t>,</w:t>
      </w:r>
      <w:r>
        <w:rPr>
          <w:rFonts w:ascii="Times New Roman" w:hAnsi="Times New Roman" w:eastAsia="Times New Roman" w:cs="Times New Roman"/>
          <w:sz w:val="24"/>
        </w:rPr>
        <w:t xml:space="preserve"> [Target’s tax counsel], counsel to the Company, and [Acquiror’s tax counsel], counsel to Parent, will each render its respective opinion with respect to certain United States federal income tax consequences of the Merger, pursuant to Section [_____] of the Agreement. Recognizing that each of [Target’s tax counsel] and [Acquiror’s tax counsel] will rely on this representation letter in delivering its respective opinion, the undersigned hereby </w:t>
      </w:r>
      <w:r>
        <w:rPr>
          <w:rFonts w:ascii="Times New Roman" w:hAnsi="Times New Roman" w:eastAsia="Times New Roman" w:cs="Times New Roman"/>
          <w:sz w:val="24"/>
        </w:rPr>
        <w:t>certif</w:t>
      </w:r>
      <w:r>
        <w:rPr>
          <w:rFonts w:ascii="Times New Roman" w:hAnsi="Times New Roman" w:eastAsia="Times New Roman" w:cs="Times New Roman"/>
          <w:sz w:val="24"/>
        </w:rPr>
        <w:t xml:space="preserve">[y / </w:t>
      </w:r>
      <w:r>
        <w:rPr>
          <w:rFonts w:ascii="Times New Roman" w:hAnsi="Times New Roman" w:eastAsia="Times New Roman" w:cs="Times New Roman"/>
          <w:sz w:val="24"/>
        </w:rPr>
        <w:t>ies</w:t>
      </w:r>
      <w:r>
        <w:rPr>
          <w:rFonts w:ascii="Times New Roman" w:hAnsi="Times New Roman" w:eastAsia="Times New Roman" w:cs="Times New Roman"/>
          <w:sz w:val="24"/>
        </w:rPr>
        <w:t>] and represent[s] on behalf of Parent and Merger Sub, after due inquiry and investigation, that the following statements and representations, insofar as they apply to Parent or Merger Sub, are true, correct and complete in all respects, as of the date hereof, and will be true, correct and complete at the Effective Time, and insofar as they do not apply to Parent and do not apply to Merger Sub, are to the best of the undersigned’s knowledge true, correct, and complete in all respects (and the undersigned know of no fact, situation, or condition that would render such statement or representation anything other than true, correct, and complete in all respects) as of the date hereof, and will be, to the best of the undersigned’s knowledge true, correct, and complete in all respects (and the undersigned knows of no fact, situation, or condition that would render such statement or representation anything other than true, correct, and complete in all respects) at the Effective Time:</w:t>
      </w:r>
    </w:p>
    <w:p>
      <w:pPr/>
      <w:r>
        <w:rPr>
          <w:rFonts w:ascii="Times New Roman" w:hAnsi="Times New Roman" w:eastAsia="Times New Roman" w:cs="Times New Roman"/>
          <w:sz w:val="24"/>
        </w:rPr>
        <w:t xml:space="preserve">Upon the terms and subject to the conditions set forth in the Agreement, and in accordance with and pursuant to the [applicable governing law], at the Effective Time, the Company shall merge with and into Merger Sub, with Merger Sub continuing as the surviving corporation in the Merger, the separate corporate existence of the Company shall cease and </w:t>
      </w:r>
      <w:r>
        <w:rPr>
          <w:rFonts w:ascii="Times New Roman" w:hAnsi="Times New Roman" w:eastAsia="Times New Roman" w:cs="Times New Roman"/>
          <w:sz w:val="24"/>
        </w:rPr>
        <w:t>all the assets and liabilities of the Company will become assets and liabilities of Merger Sub. None of the material terms and conditions of the Agreement have been or will be waived or modified.</w:t>
      </w:r>
    </w:p>
    <w:p>
      <w:pPr/>
      <w:r>
        <w:rPr>
          <w:rFonts w:ascii="Times New Roman" w:hAnsi="Times New Roman" w:eastAsia="Times New Roman" w:cs="Times New Roman"/>
          <w:sz w:val="24"/>
        </w:rPr>
        <w:t>Each share of common stock, par value [$0.01] per share, of Merger Sub that is issued and outstanding immediately prior to the Effective Time shall remain outstanding as one fully paid and nonassessable share of common stock, par value $0.01 per share, of the Surviving Corporation.</w:t>
      </w:r>
    </w:p>
    <w:p>
      <w:pPr/>
      <w:r>
        <w:rPr>
          <w:rFonts w:ascii="Times New Roman" w:hAnsi="Times New Roman" w:eastAsia="Times New Roman" w:cs="Times New Roman"/>
          <w:sz w:val="24"/>
        </w:rPr>
        <w:t>At the Effective Time, by virtue of the Merger and without any action on the part of Parent, Merger Sub or the Company, all shares of Company Common Stock that are owned by Parent, the Company (for the avoidance of doubt, other than shares of Company Common Stock held in trust or otherwise set aside from shares held in the Company’s treasury pursuant to a the Company Benefit Plan other than a [Company Stock Plan]) or Merger Sub immediately prior to the Effective Time shall be canceled and retired and shall cease to exist, and no consideration shall be delivered in exchange therefor.</w:t>
      </w:r>
    </w:p>
    <w:p>
      <w:pPr/>
      <w:r>
        <w:rPr>
          <w:rFonts w:ascii="Times New Roman" w:hAnsi="Times New Roman" w:eastAsia="Times New Roman" w:cs="Times New Roman"/>
          <w:sz w:val="24"/>
        </w:rPr>
        <w:t>At the Effective Time, by virtue of the Merger and without any action on the part of Parent, Merger Sub or the Company, each share of Company Common Stock issued and outstanding immediately prior to the Effective Time (other than shares to be canceled as described in the previous paragraph [and Dissenting Shares)] shall be converted into the right to receive [merger consideration applicable to each share of company common stock], (the “Merger Consideration”). All of such shares of Parent Common Stock shall be duly authorized and validly issued and free of preemptive rights, with no personal liability attaching to the ownership thereof. All shares of Company Common Stock converted into the right to receive the Merger Consideration shall no longer be outstanding and shall automatically be canceled and retired and shall cease to exist, and each holder of a certificate that immediately prior to the Effective Time represented any such shares of Company Common Stock shall thereafter cease to have any rights with respect to such shares of Company Common Stock, except the right to receive (i) the Merger Consideration, [and] [(ii) any dividends and other distributions in accordance with Section [</w:t>
      </w:r>
      <w:r>
        <w:rPr>
          <w:rFonts w:ascii="Times New Roman" w:hAnsi="Times New Roman" w:eastAsia="Times New Roman" w:cs="Times New Roman"/>
          <w:sz w:val="24"/>
        </w:rPr>
        <w:t>_____</w:t>
      </w:r>
      <w:r>
        <w:rPr>
          <w:rFonts w:ascii="Times New Roman" w:hAnsi="Times New Roman" w:eastAsia="Times New Roman" w:cs="Times New Roman"/>
          <w:sz w:val="24"/>
        </w:rPr>
        <w:t>] of the Agreement[, and (iii) any cash to be paid in lieu of any fractional share of Parent Common Stock in accordance with Section [</w:t>
      </w:r>
      <w:r>
        <w:rPr>
          <w:rFonts w:ascii="Times New Roman" w:hAnsi="Times New Roman" w:eastAsia="Times New Roman" w:cs="Times New Roman"/>
          <w:sz w:val="24"/>
        </w:rPr>
        <w:t>_____</w:t>
      </w:r>
      <w:r>
        <w:rPr>
          <w:rFonts w:ascii="Times New Roman" w:hAnsi="Times New Roman" w:eastAsia="Times New Roman" w:cs="Times New Roman"/>
          <w:sz w:val="24"/>
        </w:rPr>
        <w:t>] of the Agreement].</w:t>
      </w:r>
    </w:p>
    <w:p>
      <w:pPr/>
      <w:r>
        <w:rPr>
          <w:rFonts w:ascii="Times New Roman" w:hAnsi="Times New Roman" w:eastAsia="Times New Roman" w:cs="Times New Roman"/>
          <w:sz w:val="24"/>
        </w:rPr>
        <w:t>The Merger Consideration was the result of arm’s length bargaining between the management of Parent, on the one hand, and the management of the Company, on the other hand. At the Effective Time, the fair market value of the Parent Common Stock and cash received by each Company shareholder will be approximately equal to the fair market value of Company Common Stock surrendered in the Merger.</w:t>
      </w:r>
    </w:p>
    <w:p>
      <w:pPr/>
      <w:r>
        <w:rPr>
          <w:rFonts w:ascii="Times New Roman" w:hAnsi="Times New Roman" w:eastAsia="Times New Roman" w:cs="Times New Roman"/>
          <w:sz w:val="24"/>
        </w:rPr>
        <w:t>The Merger will be consummated in compliance with the material terms of the Agreement. The Agreement, the [Form S-4] and the other documents described in the [Form S-4] represent the entire understanding of Parent with respect to the Merger, and there are no other written or oral agreements regarding the Merger other than those expressly referred to in the Agreement, the [Form S-4] and the other documents described in the [Form S-4].</w:t>
      </w:r>
    </w:p>
    <w:p>
      <w:pPr/>
      <w:r>
        <w:rPr>
          <w:rFonts w:ascii="Times New Roman" w:hAnsi="Times New Roman" w:eastAsia="Times New Roman" w:cs="Times New Roman"/>
          <w:sz w:val="24"/>
        </w:rPr>
        <w:t>None of Parent, any Parent Related Person (as defined in the next paragraph), and any partnership in which Parent or any Parent Related Person is a partner, has owned or will own, directly or indirectly, or through any transaction, agreement or arrangement with any person, any Company Common Stock (or any instrument giving the holder the right to acquire Company Common Stock) during the three-year period ending at the Effective Time.</w:t>
      </w:r>
    </w:p>
    <w:p>
      <w:pPr/>
      <w:r>
        <w:rPr>
          <w:rFonts w:ascii="Times New Roman" w:hAnsi="Times New Roman" w:eastAsia="Times New Roman" w:cs="Times New Roman"/>
          <w:sz w:val="24"/>
        </w:rPr>
        <w:t>At least [45] percent of the value of the Company shareholders’ proprietary interests in the Company will be preserved as proprietary interests in Parent received in exchange for Company Common Stock.</w:t>
      </w:r>
    </w:p>
    <w:p>
      <w:pPr/>
      <w:r>
        <w:rPr>
          <w:rFonts w:ascii="Times New Roman" w:hAnsi="Times New Roman" w:eastAsia="Times New Roman" w:cs="Times New Roman"/>
          <w:sz w:val="24"/>
        </w:rPr>
        <w:t xml:space="preserve">For purposes of this representation </w:t>
      </w:r>
      <w:r>
        <w:rPr>
          <w:rFonts w:ascii="Times New Roman" w:hAnsi="Times New Roman" w:eastAsia="Times New Roman" w:cs="Times New Roman"/>
          <w:sz w:val="24"/>
        </w:rPr>
        <w:t>8</w:t>
      </w:r>
      <w:r>
        <w:rPr>
          <w:rFonts w:ascii="Times New Roman" w:hAnsi="Times New Roman" w:eastAsia="Times New Roman" w:cs="Times New Roman"/>
          <w:sz w:val="24"/>
        </w:rPr>
        <w:t>, proprietary interests in the Company will not be preserved to the extent that:</w:t>
      </w:r>
    </w:p>
    <w:p>
      <w:pPr/>
      <w:r>
        <w:rPr>
          <w:rFonts w:ascii="Times New Roman" w:hAnsi="Times New Roman" w:eastAsia="Times New Roman" w:cs="Times New Roman"/>
          <w:sz w:val="24"/>
        </w:rPr>
        <w:t xml:space="preserve">Consideration received prior to the Merger, either in a redemption of Company Common Stock or in a distribution with respect to Company Common Stock, is treated as other property or money received in the exchange of Company Common Stock for purposes of Section 356 of the Code, or would be so treated if the Company shareholder also had received Parent Common Stock in exchange for Company Common Stock; </w:t>
      </w:r>
    </w:p>
    <w:p>
      <w:pPr/>
      <w:r>
        <w:rPr>
          <w:rFonts w:ascii="Times New Roman" w:hAnsi="Times New Roman" w:eastAsia="Times New Roman" w:cs="Times New Roman"/>
          <w:sz w:val="24"/>
        </w:rPr>
        <w:t>Parent or a person related to Parent as defined in Treasury Regulation Section 1.368-1(e)(4) (a “</w:t>
      </w:r>
      <w:r>
        <w:rPr>
          <w:rFonts w:ascii="Times New Roman" w:hAnsi="Times New Roman" w:eastAsia="Times New Roman" w:cs="Times New Roman"/>
          <w:sz w:val="24"/>
        </w:rPr>
        <w:t>Parent Related Person</w:t>
      </w:r>
      <w:r>
        <w:rPr>
          <w:rFonts w:ascii="Times New Roman" w:hAnsi="Times New Roman" w:eastAsia="Times New Roman" w:cs="Times New Roman"/>
          <w:sz w:val="24"/>
        </w:rPr>
        <w:t>”) acquires Company Common Stock for consideration other than Parent Common Stock in connection with the Merger;</w:t>
      </w:r>
    </w:p>
    <w:p>
      <w:pPr/>
      <w:r>
        <w:rPr>
          <w:rFonts w:ascii="Times New Roman" w:hAnsi="Times New Roman" w:eastAsia="Times New Roman" w:cs="Times New Roman"/>
          <w:sz w:val="24"/>
        </w:rPr>
        <w:t>Cash is paid in respect of Dissenting Shares;</w:t>
      </w:r>
    </w:p>
    <w:p>
      <w:pPr/>
      <w:r>
        <w:rPr>
          <w:rFonts w:ascii="Times New Roman" w:hAnsi="Times New Roman" w:eastAsia="Times New Roman" w:cs="Times New Roman"/>
          <w:sz w:val="24"/>
        </w:rPr>
        <w:t>Parent Common Stock received in the Merger in exchange for Company Common Stock is redeemed or otherwise acquired (including by derivative transactions that would have the economic effect of an acquisition) by Parent or a Parent Related Person for consideration other than Parent Common Stock in connection with the Merger (except for possible purchases of such shares that may be made by Parent on the open market as part of a repurchase program, which purchases and program satisfy the requirements of Revenue Ruling 99-58, 1999-2 C.B. 701 (a “</w:t>
      </w:r>
      <w:r>
        <w:rPr>
          <w:rFonts w:ascii="Times New Roman" w:hAnsi="Times New Roman" w:eastAsia="Times New Roman" w:cs="Times New Roman"/>
          <w:sz w:val="24"/>
        </w:rPr>
        <w:t>Parent Stock Repurchase Program</w:t>
      </w:r>
      <w:r>
        <w:rPr>
          <w:rFonts w:ascii="Times New Roman" w:hAnsi="Times New Roman" w:eastAsia="Times New Roman" w:cs="Times New Roman"/>
          <w:sz w:val="24"/>
        </w:rPr>
        <w:t>”)); or</w:t>
      </w:r>
    </w:p>
    <w:p>
      <w:pPr/>
      <w:r>
        <w:rPr>
          <w:rFonts w:ascii="Times New Roman" w:hAnsi="Times New Roman" w:eastAsia="Times New Roman" w:cs="Times New Roman"/>
          <w:sz w:val="24"/>
        </w:rPr>
        <w:t>Cash is paid in respect of fractional shares of Parent Common Stock.</w:t>
      </w:r>
    </w:p>
    <w:p>
      <w:pPr/>
      <w:r>
        <w:rPr>
          <w:rFonts w:ascii="Times New Roman" w:hAnsi="Times New Roman" w:eastAsia="Times New Roman" w:cs="Times New Roman"/>
          <w:sz w:val="24"/>
        </w:rPr>
        <w:t>Parent is not aware of any extraordinary distribution with respect to Company Common Stock that has occurred or is intended, in each case, in connection with the Merger. Neither Parent, nor a Parent Related Person, has participated, or will participate, in a purchase, redemption or other acquisition of Company Common Stock made by the Company or a person related to the Company as defined in Treasury Regulation Section 1.368-1(e)(4) (a “</w:t>
      </w:r>
      <w:r>
        <w:rPr>
          <w:rFonts w:ascii="Times New Roman" w:hAnsi="Times New Roman" w:eastAsia="Times New Roman" w:cs="Times New Roman"/>
          <w:sz w:val="24"/>
        </w:rPr>
        <w:t>Company Related Person</w:t>
      </w:r>
      <w:r>
        <w:rPr>
          <w:rFonts w:ascii="Times New Roman" w:hAnsi="Times New Roman" w:eastAsia="Times New Roman" w:cs="Times New Roman"/>
          <w:sz w:val="24"/>
        </w:rPr>
        <w:t xml:space="preserve">”), prior to or in contemplation of the Merger, or otherwise as part of a plan of which the Merger is a part. Parent is not aware of any payment made or to be made by the Company, any Company Related Person or any affiliate of the Company, in connection with the Merger or otherwise as part of a plan of which the Merger is a part, of any amount to, or on behalf of, any Company shareholder in connection with any sale, redemption or other disposition of any Company Common Stock or Parent Common Stock. Parent has no plan or intention to make any distributions or dividends with respect to Parent </w:t>
      </w:r>
      <w:r>
        <w:rPr>
          <w:rFonts w:ascii="Times New Roman" w:hAnsi="Times New Roman" w:eastAsia="Times New Roman" w:cs="Times New Roman"/>
          <w:sz w:val="24"/>
        </w:rPr>
        <w:t>Common Stock after the Merger, other than regular, normal dividends or distributions made to all holders of such stock.</w:t>
      </w:r>
    </w:p>
    <w:p>
      <w:pPr/>
      <w:r>
        <w:rPr>
          <w:rFonts w:ascii="Times New Roman" w:hAnsi="Times New Roman" w:eastAsia="Times New Roman" w:cs="Times New Roman"/>
          <w:sz w:val="24"/>
        </w:rPr>
        <w:t xml:space="preserve">Any reference to Parent or the Company in this representation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includes a reference to any successor or predecessor of such corporation, except that the Company is not treated as a predecessor of Parent and Parent is not treated as a successor of the Company. For purposes of this representation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and representations </w:t>
      </w:r>
      <w:r>
        <w:rPr>
          <w:rFonts w:ascii="Times New Roman" w:hAnsi="Times New Roman" w:eastAsia="Times New Roman" w:cs="Times New Roman"/>
          <w:sz w:val="24"/>
        </w:rPr>
        <w:t>14</w:t>
      </w:r>
      <w:r>
        <w:rPr>
          <w:rFonts w:ascii="Times New Roman" w:hAnsi="Times New Roman" w:eastAsia="Times New Roman" w:cs="Times New Roman"/>
          <w:sz w:val="24"/>
        </w:rPr>
        <w:t xml:space="preserve">, </w:t>
      </w:r>
      <w:r>
        <w:rPr>
          <w:rFonts w:ascii="Times New Roman" w:hAnsi="Times New Roman" w:eastAsia="Times New Roman" w:cs="Times New Roman"/>
          <w:sz w:val="24"/>
        </w:rPr>
        <w:t>15</w:t>
      </w:r>
      <w:r>
        <w:rPr>
          <w:rFonts w:ascii="Times New Roman" w:hAnsi="Times New Roman" w:eastAsia="Times New Roman" w:cs="Times New Roman"/>
          <w:sz w:val="24"/>
        </w:rPr>
        <w:t xml:space="preserve"> and </w:t>
      </w:r>
      <w:r>
        <w:rPr>
          <w:rFonts w:ascii="Times New Roman" w:hAnsi="Times New Roman" w:eastAsia="Times New Roman" w:cs="Times New Roman"/>
          <w:sz w:val="24"/>
        </w:rPr>
        <w:t>16</w:t>
      </w:r>
      <w:r>
        <w:rPr>
          <w:rFonts w:ascii="Times New Roman" w:hAnsi="Times New Roman" w:eastAsia="Times New Roman" w:cs="Times New Roman"/>
          <w:sz w:val="24"/>
        </w:rPr>
        <w:t>, each partner of a partnership will be treated as owning or acquiring any stock owned or acquired, as the case may be, by the partnership (and as having paid any consideration paid by the partnership to acquire such stock) in accordance with that partner’s interest in the partnership.</w:t>
      </w:r>
    </w:p>
    <w:p>
      <w:pPr/>
      <w:r>
        <w:rPr>
          <w:rFonts w:ascii="Times New Roman" w:hAnsi="Times New Roman" w:eastAsia="Times New Roman" w:cs="Times New Roman"/>
          <w:sz w:val="24"/>
        </w:rPr>
        <w:t xml:space="preserve">For purposes of this representation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and representations </w:t>
      </w:r>
      <w:r>
        <w:rPr>
          <w:rFonts w:ascii="Times New Roman" w:hAnsi="Times New Roman" w:eastAsia="Times New Roman" w:cs="Times New Roman"/>
          <w:sz w:val="24"/>
        </w:rPr>
        <w:t>14</w:t>
      </w:r>
      <w:r>
        <w:rPr>
          <w:rFonts w:ascii="Times New Roman" w:hAnsi="Times New Roman" w:eastAsia="Times New Roman" w:cs="Times New Roman"/>
          <w:sz w:val="24"/>
        </w:rPr>
        <w:t xml:space="preserve">, </w:t>
      </w:r>
      <w:r>
        <w:rPr>
          <w:rFonts w:ascii="Times New Roman" w:hAnsi="Times New Roman" w:eastAsia="Times New Roman" w:cs="Times New Roman"/>
          <w:sz w:val="24"/>
        </w:rPr>
        <w:t>15</w:t>
      </w:r>
      <w:r>
        <w:rPr>
          <w:rFonts w:ascii="Times New Roman" w:hAnsi="Times New Roman" w:eastAsia="Times New Roman" w:cs="Times New Roman"/>
          <w:sz w:val="24"/>
        </w:rPr>
        <w:t xml:space="preserve"> and </w:t>
      </w:r>
      <w:r>
        <w:rPr>
          <w:rFonts w:ascii="Times New Roman" w:hAnsi="Times New Roman" w:eastAsia="Times New Roman" w:cs="Times New Roman"/>
          <w:sz w:val="24"/>
        </w:rPr>
        <w:t>16</w:t>
      </w:r>
      <w:r>
        <w:rPr>
          <w:rFonts w:ascii="Times New Roman" w:hAnsi="Times New Roman" w:eastAsia="Times New Roman" w:cs="Times New Roman"/>
          <w:sz w:val="24"/>
        </w:rPr>
        <w:t>, an acquisition of Parent Common Stock or Company Common Stock by a person pursuant to any transaction, agreement, arrangement or other understanding with Parent, the Company, a Parent Related Person or a Company Related Person will be treated as made by Parent, the Company, the Parent Related Person or the Company Related Person, respectively.</w:t>
      </w:r>
    </w:p>
    <w:p>
      <w:pPr/>
      <w:r>
        <w:rPr>
          <w:rFonts w:ascii="Times New Roman" w:hAnsi="Times New Roman" w:eastAsia="Times New Roman" w:cs="Times New Roman"/>
          <w:sz w:val="24"/>
        </w:rPr>
        <w:t>Merger Sub will acquire at least 90 percent of the fair market value of the net assets and at least 70 percent of the fair market value of the gross assets held by the Company immediately prior to the Merger. Neither Parent nor Merger Sub has taken any action or has any plan or intention to take any action, or fail to take any action, that would cause Merger Sub to fail, following the Merger, to hold at least 90 percent of the fair market value of the net assets and at least 70 percent of the fair market value of the gross assets held by the Company immediately prior to the Merger. For purposes of this representation, amounts paid (or to be paid) by the Company, or by the Surviving Corporation after the Effective Time, to shareholders who receive cash or other property (including amounts paid with respect to Dissenting Shares), the Company assets used (or to be used) to pay its reorganization expenses, and all redemptions and distributions (except for regular, normal dividends) made (or to be made) by the Company, or by the Surviving Corporation after the Effective Time, in connection with the Merger will be included as assets of the Company held immediately prior to the Merger.</w:t>
      </w:r>
    </w:p>
    <w:p>
      <w:pPr/>
      <w:r>
        <w:rPr>
          <w:rFonts w:ascii="Times New Roman" w:hAnsi="Times New Roman" w:eastAsia="Times New Roman" w:cs="Times New Roman"/>
          <w:sz w:val="24"/>
        </w:rPr>
        <w:t>At all times prior to, at the Effective Time of, and immediately following the Merger, Parent will be in control of Merger Sub within the meaning of Section 368(c) of the Code.</w:t>
      </w:r>
    </w:p>
    <w:p>
      <w:pPr/>
      <w:r>
        <w:rPr>
          <w:rFonts w:ascii="Times New Roman" w:hAnsi="Times New Roman" w:eastAsia="Times New Roman" w:cs="Times New Roman"/>
          <w:sz w:val="24"/>
        </w:rPr>
        <w:t>Prior to and at the Effective Time of the Merger, Merger Sub will not have outstanding any warrants, options, convertible securities, or any other type of right pursuant to which any person could acquire stock in Merger Sub, or following the Merger, stock in the Surviving Corporation.</w:t>
      </w:r>
    </w:p>
    <w:p>
      <w:pPr/>
      <w:r>
        <w:rPr>
          <w:rFonts w:ascii="Times New Roman" w:hAnsi="Times New Roman" w:eastAsia="Times New Roman" w:cs="Times New Roman"/>
          <w:sz w:val="24"/>
        </w:rPr>
        <w:t>Merger Sub was formed by Parent solely for the purpose of engaging in the transactions contemplated by the Agreement, and has not, since its formation, owned any assets, incurred any indebtedness for money borrowed, issued stock or any other equity to any person other than Parent, or engaged in any trade or business activities or operations.</w:t>
      </w:r>
    </w:p>
    <w:p>
      <w:pPr/>
      <w:r>
        <w:rPr>
          <w:rFonts w:ascii="Times New Roman" w:hAnsi="Times New Roman" w:eastAsia="Times New Roman" w:cs="Times New Roman"/>
          <w:sz w:val="24"/>
        </w:rPr>
        <w:t>[Except for the [</w:t>
      </w:r>
      <w:r>
        <w:rPr>
          <w:rFonts w:ascii="Times New Roman" w:hAnsi="Times New Roman" w:eastAsia="Times New Roman" w:cs="Times New Roman"/>
          <w:sz w:val="24"/>
        </w:rPr>
        <w:t>____________________</w:t>
      </w:r>
      <w:r>
        <w:rPr>
          <w:rFonts w:ascii="Times New Roman" w:hAnsi="Times New Roman" w:eastAsia="Times New Roman" w:cs="Times New Roman"/>
          <w:sz w:val="24"/>
        </w:rPr>
        <w:t>] shares of capital stock of Merger Sub issued to Parent in connection with the formation of Merger Sub, ] no shares of stock of Merger Sub will be issued in the Merger or in connection therewith. Neither Parent nor Merger Sub has any plan or intention to cause or permit Merger Sub to issue additional shares of its stock after the Effective Time that would result in Parent losing control (within the meaning of Section 368(c) of the Code) of Merger Sub.</w:t>
      </w:r>
    </w:p>
    <w:p>
      <w:pPr/>
      <w:r>
        <w:rPr>
          <w:rFonts w:ascii="Times New Roman" w:hAnsi="Times New Roman" w:eastAsia="Times New Roman" w:cs="Times New Roman"/>
          <w:sz w:val="24"/>
        </w:rPr>
        <w:t>Neither Parent nor any Parent Related Person has any plan or intention to redeem or otherwise reacquire (or cause to be redeemed or reacquired) any of the Parent Common Stock issued in the Merger (except for possible purchases of such shares that may be made by Parent on the open market as part of a Parent Stock Repurchase Program). Neither any Parent Stock Repurchase Program nor any acquisition of Parent Common Stock pursuant to a Parent Stock Repurchase Program (a) was (or will be) matters negotiated with the Company or any Company shareholder or (b) was (or will be) undertaken at the request of the Company or any Company shareholder. There is no understanding between Parent or any Parent Related Person, on the one hand, and the Company or any Company shareholder, on the other hand, that any Company shareholder’s ownership of Parent Common Stock issued in the Merger would be transitory. No Parent Stock Repurchase Program favors participation by any Company shareholder or any former Company shareholder over other holders of Parent Common Stock.</w:t>
      </w:r>
    </w:p>
    <w:p>
      <w:pPr/>
      <w:r>
        <w:rPr>
          <w:rFonts w:ascii="Times New Roman" w:hAnsi="Times New Roman" w:eastAsia="Times New Roman" w:cs="Times New Roman"/>
          <w:sz w:val="24"/>
        </w:rPr>
        <w:t>Repurchases (if any) of Parent Common Stock issued in the Merger will be made on the open market through a broker for the prevailing market price.</w:t>
      </w:r>
    </w:p>
    <w:p>
      <w:pPr/>
      <w:r>
        <w:rPr>
          <w:rFonts w:ascii="Times New Roman" w:hAnsi="Times New Roman" w:eastAsia="Times New Roman" w:cs="Times New Roman"/>
          <w:sz w:val="24"/>
        </w:rPr>
        <w:t>The mechanics of any open market purchases of Parent Common Stock will be such that (i) Parent, at the time of each such open market purchase, will not know the identity of a seller of Parent Common Stock and (ii) a former shareholder of the Company who receives Parent Common Stock in the Merger and subsequently sells it will not know whether Parent is the buyer.</w:t>
      </w:r>
    </w:p>
    <w:p>
      <w:pPr/>
      <w:r>
        <w:rPr>
          <w:rFonts w:ascii="Times New Roman" w:hAnsi="Times New Roman" w:eastAsia="Times New Roman" w:cs="Times New Roman"/>
          <w:sz w:val="24"/>
        </w:rPr>
        <w:t>Without regard to any Parent Stock Repurchase Program, a market will exist for the newly-issued Parent Common Stock held by the former Company shareholders at and after the Effective Time.</w:t>
      </w:r>
    </w:p>
    <w:p>
      <w:pPr/>
      <w:r>
        <w:rPr>
          <w:rFonts w:ascii="Times New Roman" w:hAnsi="Times New Roman" w:eastAsia="Times New Roman" w:cs="Times New Roman"/>
          <w:sz w:val="24"/>
        </w:rPr>
        <w:t xml:space="preserve">Parent has no plan or intention (i) to liquidate Merger Sub; (ii) to merge Merger Sub with or into another corporation or entity (or to convert Merger Sub into a “disregarded” entity within the meaning of Treasury Regulation Section 301.7701-3 or a partnership); (iii) to sell or otherwise dispose of the stock of Merger Sub; or (iv) to permit or cause Merger Sub to sell or otherwise dispose of any of its assets or any of the assets of the Company acquired in the Merger, except for (w) in the case of clause (iv), dispositions made in the ordinary course of business, (x) in the case of clauses (iii) or (iv), a contribution of stock or assets permitted under each of Section 368(a)(2)(C) of the Code and Treasury Regulation Sections 1.368-2(f), 1.368-2(k) and 1.368-1(d)(4) (taking into account Revenue Ruling 2001-24), (y) any liquidation of a wholly owned subsidiary of Merger Sub into Merger Sub or a wholly owned subsidiary of Merger Sub after the Effective Time, or (z) any intercompany loans of cash on </w:t>
      </w:r>
      <w:r>
        <w:rPr>
          <w:rFonts w:ascii="Times New Roman" w:hAnsi="Times New Roman" w:eastAsia="Times New Roman" w:cs="Times New Roman"/>
          <w:sz w:val="24"/>
        </w:rPr>
        <w:t>hand from operations made by Merger Sub or any of its wholly owned subsidiaries to Parent or any of its wholly owned subsidiaries after the Effective Time.</w:t>
      </w:r>
    </w:p>
    <w:p>
      <w:pPr/>
      <w:r>
        <w:rPr>
          <w:rFonts w:ascii="Times New Roman" w:hAnsi="Times New Roman" w:eastAsia="Times New Roman" w:cs="Times New Roman"/>
          <w:sz w:val="24"/>
        </w:rPr>
        <w:t>Following the Merger, Parent, or a member of its qualified group of corporations (as defined in Treasury Regulation Section 1.368-1(d)(4)(ii)), will continue the “historic business” of the Company or use a “significant portion” (as those terms are used in Treasury Regulation Section 1.368-1(d)) of the Company’s historic business assets in a business. For purposes of this representation, Parent’s “qualified group” means one or more chains of corporations connected through stock ownership with Parent, but only if Parent owns directly stock meeting the requirements of Section 368(c) of the Code in at least one other corporation, and stock meeting the requirements of Section 368(c) of the Code in each of the corporations (except Parent) is owned directly by one of the other corporations. In addition, Parent will be treated as owning its proportionate share of Target’s business assets used in a business of any partnership and conducting the business of the partnership of which Parent or members of its qualified group are partners, provided that either members of Parent’s qualified group, in the aggregate, own a “significant interest” or one or more members of the qualified group have “active and substantial management functions” as a partner with respect to that partnership’s business (each, within the meaning of Treasury Regulation Section 1.368-1(d)(4)(iii)(B)(2).</w:t>
      </w:r>
    </w:p>
    <w:p>
      <w:pPr/>
      <w:r>
        <w:rPr>
          <w:rFonts w:ascii="Times New Roman" w:hAnsi="Times New Roman" w:eastAsia="Times New Roman" w:cs="Times New Roman"/>
          <w:sz w:val="24"/>
        </w:rPr>
        <w:t>[Except as otherwise provided in Section [</w:t>
      </w:r>
      <w:r>
        <w:rPr>
          <w:rFonts w:ascii="Times New Roman" w:hAnsi="Times New Roman" w:eastAsia="Times New Roman" w:cs="Times New Roman"/>
          <w:sz w:val="24"/>
        </w:rPr>
        <w:t>_____</w:t>
      </w:r>
      <w:r>
        <w:rPr>
          <w:rFonts w:ascii="Times New Roman" w:hAnsi="Times New Roman" w:eastAsia="Times New Roman" w:cs="Times New Roman"/>
          <w:sz w:val="24"/>
        </w:rPr>
        <w:t>] of the Agreement, ]Parent, Merger Sub, the Company and the Company shareholders will each pay their respective expenses, if any, incurred in connection with the Merger, and neither Parent nor Merger Sub has agreed to assume, or will assume, directly or indirectly, any expense or other liability, whether fixed or contingent, of any Company shareholder in connection with or as part of the Merger or any related transaction.</w:t>
      </w:r>
    </w:p>
    <w:p>
      <w:pPr/>
      <w:r>
        <w:rPr>
          <w:rFonts w:ascii="Times New Roman" w:hAnsi="Times New Roman" w:eastAsia="Times New Roman" w:cs="Times New Roman"/>
          <w:sz w:val="24"/>
        </w:rPr>
        <w:t>To the best knowledge of Parent and Merger Sub, the Company has no (and, prior to and at the time of the Merger, will not have any) issued and outstanding stock, other than Company Common Stock.</w:t>
      </w:r>
    </w:p>
    <w:p>
      <w:pPr/>
      <w:r>
        <w:rPr>
          <w:rFonts w:ascii="Times New Roman" w:hAnsi="Times New Roman" w:eastAsia="Times New Roman" w:cs="Times New Roman"/>
          <w:sz w:val="24"/>
        </w:rPr>
        <w:t>There is no intercorporate indebtedness existing between Parent or any of its subsidiaries, on the one hand, and the Company or any of its subsidiaries, on the other hand, that was issued, acquired or will be settled at a discount.</w:t>
      </w:r>
    </w:p>
    <w:p>
      <w:pPr/>
      <w:r>
        <w:rPr>
          <w:rFonts w:ascii="Times New Roman" w:hAnsi="Times New Roman" w:eastAsia="Times New Roman" w:cs="Times New Roman"/>
          <w:sz w:val="24"/>
        </w:rPr>
        <w:t>Neither Parent nor Merger Sub is an investment company, as defined in Sections 368(a)(2)(F)(iii) and (iv) of the Code.</w:t>
      </w:r>
    </w:p>
    <w:p>
      <w:pPr/>
      <w:r>
        <w:rPr>
          <w:rFonts w:ascii="Times New Roman" w:hAnsi="Times New Roman" w:eastAsia="Times New Roman" w:cs="Times New Roman"/>
          <w:sz w:val="24"/>
        </w:rPr>
        <w:t>At the Effective Time, the fair market value of the assets of the Company transferred to Merger Sub will exceed the sum of the liabilities of the Company assumed by Merger Sub, plus the amount (without duplication) of liabilities, if any, to which the transferred assets are subject.</w:t>
      </w:r>
    </w:p>
    <w:p>
      <w:pPr/>
      <w:r>
        <w:rPr>
          <w:rFonts w:ascii="Times New Roman" w:hAnsi="Times New Roman" w:eastAsia="Times New Roman" w:cs="Times New Roman"/>
          <w:sz w:val="24"/>
        </w:rPr>
        <w:t>The liabilities of the Company assumed, and to be assumed, by Merger Sub and the liabilities to which the transferred assets of the Company, and the assets of the Company to be transferred, are subject were incurred by the Company in the ordinary course of its business.</w:t>
      </w:r>
    </w:p>
    <w:p>
      <w:pPr/>
      <w:r>
        <w:rPr>
          <w:rFonts w:ascii="Times New Roman" w:hAnsi="Times New Roman" w:eastAsia="Times New Roman" w:cs="Times New Roman"/>
          <w:sz w:val="24"/>
        </w:rPr>
        <w:t>The payment of cash, if any, in lieu of fractional shares of Parent Common Stock represents a mere mechanical rounding off solely for the purpose of avoiding the expense and inconvenience to Parent of issuing fractional shares and does not represent separately bargained-for consideration. The fractional share interests of each Company shareholder will be aggregated, and no Company shareholder, with the possible exception of shareholders whose holdings are in multiple accounts or with multiple brokers, will receive cash in an amount equal to or greater than the value of one full share of Parent Common Stock.</w:t>
      </w:r>
    </w:p>
    <w:p>
      <w:pPr/>
      <w:r>
        <w:rPr>
          <w:rFonts w:ascii="Times New Roman" w:hAnsi="Times New Roman" w:eastAsia="Times New Roman" w:cs="Times New Roman"/>
          <w:sz w:val="24"/>
        </w:rPr>
        <w:t>None of the compensation received (or to be received) by any shareholder-employee of the Company will be separate consideration for, or allocable to, any Company Common Stock held by such shareholder-employee; none of the shares of Parent Common Stock received by any shareholder-employee of the Company, as part of any overall plan of which the Merger is a part, was (or will be) separate consideration for, or allocable to, any employment agreement; and the compensation paid (or to be paid) to any shareholder-employee of the Company was (or will be) for services actually rendered or to be rendered and was (or will be) commensurate with amounts paid to third parties bargaining at arm’s length for similar services.</w:t>
      </w:r>
    </w:p>
    <w:p>
      <w:pPr/>
      <w:r>
        <w:rPr>
          <w:rFonts w:ascii="Times New Roman" w:hAnsi="Times New Roman" w:eastAsia="Times New Roman" w:cs="Times New Roman"/>
          <w:sz w:val="24"/>
        </w:rPr>
        <w:t>Parent will not, and will not cause or permit its subsidiaries to, take any position on any Federal, state, or local income or franchise tax return (including any tax return filed on behalf of the Company after the Closing), or take any other tax reporting position, that is inconsistent with the treatment of the Merger as a reorganization under Section 368(a)(1) of the Code or any representation or statement herein, except to the extent otherwise required pursuant to a decision by the U.S. Tax Court or a judgment, decree, or other order by any court of competent jurisdiction that has become final. In addition, Parent has no plan or intention to take, or cause or permit its subsidiaries to take, any action that would be reasonably likely to prevent the treatment of the Merger as a reorganization under Section 368(a)(1) of the Code.</w:t>
      </w:r>
    </w:p>
    <w:p>
      <w:pPr/>
      <w:r>
        <w:rPr>
          <w:rFonts w:ascii="Times New Roman" w:hAnsi="Times New Roman" w:eastAsia="Times New Roman" w:cs="Times New Roman"/>
          <w:sz w:val="24"/>
        </w:rPr>
        <w:t>The Merger is being undertaken for valid business reasons unrelated to taxes[, including without limitation: [ ]].</w:t>
      </w:r>
    </w:p>
    <w:p>
      <w:pPr/>
      <w:r>
        <w:rPr>
          <w:rFonts w:ascii="Times New Roman" w:hAnsi="Times New Roman" w:eastAsia="Times New Roman" w:cs="Times New Roman"/>
          <w:sz w:val="24"/>
        </w:rPr>
        <w:t>Neither Parent nor Merger Sub is under the jurisdiction of a court in a case under Title 11 of the United States Code or a receivership, foreclosure, or a similar proceeding in a federal or state court.</w:t>
      </w:r>
    </w:p>
    <w:p>
      <w:pPr/>
      <w:r>
        <w:rPr>
          <w:rFonts w:ascii="Times New Roman" w:hAnsi="Times New Roman" w:eastAsia="Times New Roman" w:cs="Times New Roman"/>
          <w:sz w:val="24"/>
        </w:rPr>
        <w:t>Each of the undersigned is authorized to make all of the representations set forth herein.</w:t>
      </w:r>
    </w:p>
    <w:p>
      <w:pPr/>
      <w:r>
        <w:rPr>
          <w:rFonts w:ascii="Times New Roman" w:hAnsi="Times New Roman" w:eastAsia="Times New Roman" w:cs="Times New Roman"/>
          <w:sz w:val="24"/>
        </w:rPr>
        <w:t xml:space="preserve">Each of Parent and Merger Sub understand that [Acquiror’s tax counsel], as counsel to Parent, and [Target’s tax counsel], as counsel to the Company, will rely on this representation letter in rendering their respective opinions concerning certain of the United States federal income tax </w:t>
      </w:r>
      <w:r>
        <w:rPr>
          <w:rFonts w:ascii="Times New Roman" w:hAnsi="Times New Roman" w:eastAsia="Times New Roman" w:cs="Times New Roman"/>
          <w:sz w:val="24"/>
        </w:rPr>
        <w:t>consequences of the Merger and hereby commit to inform them if, for any reason, any of the foregoing representations or statements ceases to be true prior to the Effective Time.</w:t>
      </w:r>
    </w:p>
    <w:p>
      <w:pPr/>
      <w:r>
        <w:rPr>
          <w:rFonts w:ascii="Times New Roman" w:hAnsi="Times New Roman" w:eastAsia="Times New Roman" w:cs="Times New Roman"/>
          <w:sz w:val="24"/>
        </w:rPr>
        <w:t>Each of Parent and Merger Sub acknowledge that (i) these opinions will be based on the accuracy of the representations set forth herein and on the accuracy of the representations and warranties and the satisfaction of the covenants and obligations contained in the Agreement and the various other documents related thereto, and (ii) these opinions will be subject to certain limitations and qualifications including that they may not be relied upon if any such representations or warranties are not accurate or if any of such covenants or obligations are not satisfied in all material respects. The undersigned acknowledges that these opinions will not address any tax consequences of the Merger or any action taken in connection therewith except as expressly set forth in such opinions.</w:t>
      </w:r>
    </w:p>
    <w:p>
      <w:pPr/>
      <w:r>
        <w:rPr>
          <w:rFonts w:ascii="Times New Roman" w:hAnsi="Times New Roman" w:eastAsia="Times New Roman" w:cs="Times New Roman"/>
          <w:sz w:val="24"/>
        </w:rPr>
        <w:t>IN WITNESS WHEREOF, I have, on behalf of Parent, caused this Representation Letter to be executed as of the date first set forth above.</w:t>
      </w:r>
    </w:p>
    <w:p>
      <w:pPr/>
    </w:p>
    <w:p>
      <w:pPr>
        <w:ind w:left="4320" w:firstLine="360"/>
      </w:pPr>
      <w:r>
        <w:rPr>
          <w:rFonts w:ascii="Times New Roman" w:hAnsi="Times New Roman" w:eastAsia="Times New Roman" w:cs="Times New Roman"/>
          <w:sz w:val="24"/>
        </w:rPr>
        <w:t>[</w:t>
      </w:r>
      <w:r>
        <w:rPr>
          <w:rFonts w:ascii="Times New Roman" w:hAnsi="Times New Roman" w:eastAsia="Times New Roman" w:cs="Times New Roman"/>
          <w:sz w:val="24"/>
        </w:rPr>
        <w:t>Acquiror</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IN WITNESS WHEREOF, I have, on behalf of Merger Sub, caused this Representation Letter to be executed as of the date first set forth above.</w:t>
      </w:r>
    </w:p>
    <w:p>
      <w:pPr/>
    </w:p>
    <w:p>
      <w:pPr>
        <w:ind w:left="4320" w:firstLine="360"/>
      </w:pPr>
      <w:r>
        <w:rPr>
          <w:rFonts w:ascii="Times New Roman" w:hAnsi="Times New Roman" w:eastAsia="Times New Roman" w:cs="Times New Roman"/>
          <w:sz w:val="24"/>
        </w:rPr>
        <w:t>[</w:t>
      </w:r>
      <w:r>
        <w:rPr>
          <w:rFonts w:ascii="Times New Roman" w:hAnsi="Times New Roman" w:eastAsia="Times New Roman" w:cs="Times New Roman"/>
          <w:sz w:val="24"/>
        </w:rPr>
        <w:t>Merger Sub</w:t>
      </w:r>
      <w:r>
        <w:rPr>
          <w:rFonts w:ascii="Times New Roman" w:hAnsi="Times New Roman" w:eastAsia="Times New Roman" w:cs="Times New Roman"/>
          <w:sz w:val="24"/>
        </w:rPr>
        <w:t>]</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