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Sheet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CONVERTIBLE PROMISSORY NOTE FINANCING </w:t>
      </w:r>
    </w:p>
    <w:p>
      <w:pPr>
        <w:keepNext w:val="0"/>
        <w:spacing w:before="120" w:after="0" w:line="260" w:lineRule="exact"/>
        <w:ind w:left="360" w:right="0" w:firstLine="0"/>
        <w:jc w:val="left"/>
      </w:pPr>
      <w:r>
        <w:rPr>
          <w:rFonts w:ascii="Times New Roman" w:hAnsi="Times New Roman" w:eastAsia="Times New Roman" w:cs="Times New Roman"/>
          <w:b w:val="0"/>
          <w:sz w:val="24"/>
        </w:rPr>
        <w:t>SUMMARY OF TERMS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Summary of Terms represents only the current thinking of the parties with respect to certain of the major issues relating to the proposed private offering and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binding agreement. This Summary of Terms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securities in any state where the offer or sale is not permitted.</w:t>
      </w:r>
    </w:p>
    <w:p>
      <w:pPr>
        <w:keepNext w:val="0"/>
        <w:spacing w:before="120" w:after="0" w:line="260" w:lineRule="exact"/>
        <w:ind w:left="720" w:right="0" w:firstLine="0"/>
        <w:jc w:val="left"/>
      </w:pPr>
      <w:r>
        <w:rPr>
          <w:rFonts w:ascii="Times New Roman" w:hAnsi="Times New Roman" w:eastAsia="Times New Roman" w:cs="Times New Roman"/>
          <w:b/>
          <w:sz w:val="24"/>
        </w:rPr>
        <w:t>Issuer: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[ISSUER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Type of Security: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Unsecured convertible promissory notes (the “</w:t>
      </w:r>
      <w:r>
        <w:rPr>
          <w:rFonts w:ascii="Times New Roman" w:hAnsi="Times New Roman" w:eastAsia="Times New Roman" w:cs="Times New Roman"/>
          <w:b/>
          <w:sz w:val="24"/>
        </w:rPr>
        <w:t>Notes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Amount of Financing: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 to $[AMOUNT] in aggregate principal amount of Notes may be issued to investors identified by the Company (collectively, the “</w:t>
      </w:r>
      <w:r>
        <w:rPr>
          <w:rFonts w:ascii="Times New Roman" w:hAnsi="Times New Roman" w:eastAsia="Times New Roman" w:cs="Times New Roman"/>
          <w:b/>
          <w:sz w:val="24"/>
        </w:rPr>
        <w:t>Investors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Purchase Price: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Face value.</w:t>
      </w:r>
    </w:p>
    <w:p>
      <w:pPr>
        <w:keepNext w:val="0"/>
        <w:spacing w:before="120" w:after="0" w:line="260" w:lineRule="exact"/>
        <w:ind w:left="720" w:right="0" w:firstLine="0"/>
        <w:jc w:val="left"/>
      </w:pPr>
      <w:r>
        <w:rPr>
          <w:rFonts w:ascii="Times New Roman" w:hAnsi="Times New Roman" w:eastAsia="Times New Roman" w:cs="Times New Roman"/>
          <w:b/>
          <w:sz w:val="24"/>
        </w:rPr>
        <w:t>Interest Rate: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Simple interest will accrue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interest rate of [NUMBER]%, payable at maturity.</w:t>
      </w:r>
    </w:p>
    <w:p>
      <w:pPr>
        <w:keepNext w:val="0"/>
        <w:spacing w:before="120" w:after="0" w:line="260" w:lineRule="exact"/>
        <w:ind w:left="720" w:right="0" w:firstLine="0"/>
        <w:jc w:val="left"/>
      </w:pPr>
      <w:r>
        <w:rPr>
          <w:rFonts w:ascii="Times New Roman" w:hAnsi="Times New Roman" w:eastAsia="Times New Roman" w:cs="Times New Roman"/>
          <w:b/>
          <w:sz w:val="24"/>
        </w:rPr>
        <w:t>Term: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principal, together with all accrued and unpaid interest under the Notes, is due and payable at the election of Investors holding [PERCENTAGE] of the aggregate outstanding principal amount of the Notes (the “</w:t>
      </w:r>
      <w:r>
        <w:rPr>
          <w:rFonts w:ascii="Times New Roman" w:hAnsi="Times New Roman" w:eastAsia="Times New Roman" w:cs="Times New Roman"/>
          <w:b/>
          <w:sz w:val="24"/>
        </w:rPr>
        <w:t>Required Investors</w:t>
      </w:r>
      <w:r>
        <w:rPr>
          <w:rFonts w:ascii="Times New Roman" w:hAnsi="Times New Roman" w:eastAsia="Times New Roman" w:cs="Times New Roman"/>
          <w:b w:val="0"/>
          <w:sz w:val="24"/>
        </w:rPr>
        <w:t>”) starting on the date that is [NUMBER] months after the date the first Note is issued (the “</w:t>
      </w:r>
      <w:r>
        <w:rPr>
          <w:rFonts w:ascii="Times New Roman" w:hAnsi="Times New Roman" w:eastAsia="Times New Roman" w:cs="Times New Roman"/>
          <w:b/>
          <w:sz w:val="24"/>
        </w:rPr>
        <w:t>Maturity Date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Prepayment: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Notes may not be prepaid or amended without the prior written consent of the Required Investors.</w:t>
      </w:r>
    </w:p>
    <w:p>
      <w:pPr>
        <w:keepNext w:val="0"/>
        <w:spacing w:before="120" w:after="0" w:line="260" w:lineRule="exact"/>
        <w:ind w:left="720" w:right="0" w:firstLine="0"/>
        <w:jc w:val="left"/>
      </w:pPr>
      <w:r>
        <w:rPr>
          <w:rFonts w:ascii="Times New Roman" w:hAnsi="Times New Roman" w:eastAsia="Times New Roman" w:cs="Times New Roman"/>
          <w:b/>
          <w:sz w:val="24"/>
        </w:rPr>
        <w:t>Conversion: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Automatic Conversion on Qualified Financing</w:t>
      </w:r>
      <w:r>
        <w:rPr>
          <w:rFonts w:ascii="Times New Roman" w:hAnsi="Times New Roman" w:eastAsia="Times New Roman" w:cs="Times New Roman"/>
          <w:b w:val="0"/>
          <w:sz w:val="24"/>
        </w:rPr>
        <w:t xml:space="preserve">. If, on or prior to the Maturity Date, the Company consummates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financing pursuant to which it sells shares of its preferred stock, which are expected to be ‘Series [LETTER] Preferred Stock’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 xml:space="preserv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sales price of not less than $[AMOUNT] (excluding any and all indebtedness that is converted into Preferred Stock (e.g., the Notes))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Financing</w:t>
      </w:r>
      <w:r>
        <w:rPr>
          <w:rFonts w:ascii="Times New Roman" w:hAnsi="Times New Roman" w:eastAsia="Times New Roman" w:cs="Times New Roman"/>
          <w:b w:val="0"/>
          <w:sz w:val="24"/>
        </w:rPr>
        <w:t xml:space="preserve">”), then all principal, together with all accrued and unpaid interest under the Notes, will automatically convert into Note Preferred Stock (as defined below)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lesser of (i) [NUMBER]% of the lowest price per share paid by the other investors actually purchasing shares of Preferred Stock in the Qualified Financing for cash and (ii) the price obtained by dividing (x) the Valuation Cap (as defined below) by (y) the Fully Diluted Capitalization (as defined below) as of immediately prior to the Qualified Financing.</w:t>
      </w:r>
    </w:p>
    <w:p>
      <w:pPr>
        <w:keepNext w:val="0"/>
        <w:spacing w:before="120" w:after="0" w:line="260" w:lineRule="exact"/>
        <w:ind w:left="720" w:right="0" w:firstLine="0"/>
        <w:jc w:val="left"/>
      </w:pPr>
      <w:r>
        <w:rPr>
          <w:rFonts w:ascii="Times New Roman" w:hAnsi="Times New Roman" w:eastAsia="Times New Roman" w:cs="Times New Roman"/>
          <w:b/>
          <w:sz w:val="24"/>
        </w:rPr>
        <w:t>Elective Conversion after Maturity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prior to the Maturity Date, the Notes have not been repaid or converted into shares of the Company’s capital stock, then, at the election of the Required Investors, all principal, together with all accrued and unpaid interest under the Notes, will convert into shares of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price obtained by dividing (i) the Valuation Cap by (ii) the number of Fully Diluted Capitalization outstanding as of the date of conversion, immediately prior to conversion.</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means common stock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Fully Diluted Capitalization</w:t>
      </w:r>
      <w:r>
        <w:rPr>
          <w:rFonts w:ascii="Times New Roman" w:hAnsi="Times New Roman" w:eastAsia="Times New Roman" w:cs="Times New Roman"/>
          <w:b w:val="0"/>
          <w:sz w:val="24"/>
        </w:rPr>
        <w:t>” means the number of shares of Common Stock outstanding at the applicable time assuming full conversion and/or exercise of all then outstanding options, warrants and preferred stock (but excluding the Notes, all other convertible indebtedness of the Company, all SAFEs and all shares of the Common Stock reserved and available for future grant under any equity incentive plan or similar plan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Note Preferred Stock</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the Company’s preferred stock which has identical rights, privileges, preferences and restrictions as the Preferred Stock, other than with respect to the per share liquidation preference, which will equal the conversion price, as well as price-based antidilution protection and dividend rights, which will be based on the conversion price.</w:t>
      </w:r>
    </w:p>
    <w:p>
      <w:pPr>
        <w:keepNext w:val="0"/>
        <w:spacing w:before="120" w:after="0" w:line="260" w:lineRule="exact"/>
        <w:ind w:left="720" w:right="0" w:firstLine="0"/>
        <w:jc w:val="left"/>
      </w:pPr>
      <w:r>
        <w:rPr>
          <w:rFonts w:ascii="Times New Roman" w:hAnsi="Times New Roman" w:eastAsia="Times New Roman" w:cs="Times New Roman"/>
          <w:b/>
          <w:sz w:val="24"/>
        </w:rPr>
        <w:t>Other: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Summary of Terms is intended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outline of certain of the material terms of the Notes and does not purport to summarize all of the conditions, covenants, representations, warranties and other provisions that would be contained in definitive documentation for the Notes.</w:t>
      </w:r>
    </w:p>
    <w:p>
      <w:pPr>
        <w:keepNext w:val="0"/>
        <w:spacing w:before="200" w:after="0" w:line="260" w:lineRule="exact"/>
        <w:ind w:left="72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Summary of Terms may be executed in counterparts, which together will constitute one document. Facsimile and electronic signatures (including pdf or any electronic signature complying with the U.S. federal esign act of 2000) will have the same legal effect as original signatures. The legally binding portions of this Summary of Terms will be governed by [•] law, without regard to conflicts-of-law principles.</w:t>
      </w:r>
    </w:p>
    <w:p>
      <w:pPr>
        <w:keepNext w:val="0"/>
        <w:spacing w:before="120" w:after="0" w:line="260" w:lineRule="exact"/>
        <w:ind w:left="360" w:right="0" w:firstLine="0"/>
        <w:jc w:val="left"/>
      </w:pPr>
      <w:r>
        <w:rPr>
          <w:rFonts w:ascii="Times New Roman" w:hAnsi="Times New Roman" w:eastAsia="Times New Roman" w:cs="Times New Roman"/>
          <w:b/>
          <w:sz w:val="24"/>
        </w:rPr>
        <w:t>[ISSUER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[LEAD INVESTOR]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