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Term Sheet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This term sheet (the “</w:t>
      </w:r>
      <w:r>
        <w:rPr>
          <w:rFonts w:ascii="Times New Roman" w:hAnsi="Times New Roman" w:eastAsia="Times New Roman" w:cs="Times New Roman"/>
          <w:b/>
          <w:sz w:val="24"/>
        </w:rPr>
        <w:t>Term Sheet</w:t>
      </w:r>
      <w:r>
        <w:rPr>
          <w:rFonts w:ascii="Times New Roman" w:hAnsi="Times New Roman" w:eastAsia="Times New Roman" w:cs="Times New Roman"/>
          <w:b w:val="0"/>
          <w:sz w:val="24"/>
        </w:rPr>
        <w:t xml:space="preserve">”) is intended to describe the general terms and conditions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proposed acquisition of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corporation organized under the laws of the state of [____________________] (the “</w:t>
      </w:r>
      <w:r>
        <w:rPr>
          <w:rFonts w:ascii="Times New Roman" w:hAnsi="Times New Roman" w:eastAsia="Times New Roman" w:cs="Times New Roman"/>
          <w:b/>
          <w:sz w:val="24"/>
        </w:rPr>
        <w:t>Company</w:t>
      </w:r>
      <w:r>
        <w:rPr>
          <w:rFonts w:ascii="Times New Roman" w:hAnsi="Times New Roman" w:eastAsia="Times New Roman" w:cs="Times New Roman"/>
          <w:b w:val="0"/>
          <w:sz w:val="24"/>
        </w:rPr>
        <w:t xml:space="preserve">”), and certain of its affiliates by [____________________],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[____________________] organized under the laws of the state of [____________________] (the “</w:t>
      </w:r>
      <w:r>
        <w:rPr>
          <w:rFonts w:ascii="Times New Roman" w:hAnsi="Times New Roman" w:eastAsia="Times New Roman" w:cs="Times New Roman"/>
          <w:b/>
          <w:sz w:val="24"/>
        </w:rPr>
        <w:t>Buyer</w:t>
      </w:r>
      <w:r>
        <w:rPr>
          <w:rFonts w:ascii="Times New Roman" w:hAnsi="Times New Roman" w:eastAsia="Times New Roman" w:cs="Times New Roman"/>
          <w:b w:val="0"/>
          <w:sz w:val="24"/>
        </w:rPr>
        <w:t xml:space="preserve">”) and is subject to the negotiation and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purchase and sale agreement (the “</w:t>
      </w:r>
      <w:r>
        <w:rPr>
          <w:rFonts w:ascii="Times New Roman" w:hAnsi="Times New Roman" w:eastAsia="Times New Roman" w:cs="Times New Roman"/>
          <w:b/>
          <w:sz w:val="24"/>
        </w:rPr>
        <w:t>Purchase Agreement</w:t>
      </w:r>
      <w:r>
        <w:rPr>
          <w:rFonts w:ascii="Times New Roman" w:hAnsi="Times New Roman" w:eastAsia="Times New Roman" w:cs="Times New Roman"/>
          <w:b w:val="0"/>
          <w:sz w:val="24"/>
        </w:rPr>
        <w:t xml:space="preserve">”), and any other agreement that may be necessary to effect the transaction, including without limitation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agreement and stockholders’ agreement (together with the Purchase Agreement, the “</w:t>
      </w:r>
      <w:r>
        <w:rPr>
          <w:rFonts w:ascii="Times New Roman" w:hAnsi="Times New Roman" w:eastAsia="Times New Roman" w:cs="Times New Roman"/>
          <w:b/>
          <w:sz w:val="24"/>
        </w:rPr>
        <w:t>Transaction Documents</w:t>
      </w:r>
      <w:r>
        <w:rPr>
          <w:rFonts w:ascii="Times New Roman" w:hAnsi="Times New Roman" w:eastAsia="Times New Roman" w:cs="Times New Roman"/>
          <w:b w:val="0"/>
          <w:sz w:val="24"/>
        </w:rPr>
        <w:t>”). Except for sections below entitled “</w:t>
      </w:r>
      <w:r>
        <w:rPr>
          <w:rFonts w:ascii="Times New Roman" w:hAnsi="Times New Roman" w:eastAsia="Times New Roman" w:cs="Times New Roman"/>
          <w:b/>
          <w:sz w:val="24"/>
        </w:rPr>
        <w:t>Confidentiality</w:t>
      </w:r>
      <w:r>
        <w:rPr>
          <w:rFonts w:ascii="Times New Roman" w:hAnsi="Times New Roman" w:eastAsia="Times New Roman" w:cs="Times New Roman"/>
          <w:b w:val="0"/>
          <w:sz w:val="24"/>
        </w:rPr>
        <w:t>”, “</w:t>
      </w:r>
      <w:r>
        <w:rPr>
          <w:rFonts w:ascii="Times New Roman" w:hAnsi="Times New Roman" w:eastAsia="Times New Roman" w:cs="Times New Roman"/>
          <w:b/>
          <w:sz w:val="24"/>
        </w:rPr>
        <w:t>Exclusivity</w:t>
      </w:r>
      <w:r>
        <w:rPr>
          <w:rFonts w:ascii="Times New Roman" w:hAnsi="Times New Roman" w:eastAsia="Times New Roman" w:cs="Times New Roman"/>
          <w:b w:val="0"/>
          <w:sz w:val="24"/>
        </w:rPr>
        <w:t>”, “</w:t>
      </w:r>
      <w:r>
        <w:rPr>
          <w:rFonts w:ascii="Times New Roman" w:hAnsi="Times New Roman" w:eastAsia="Times New Roman" w:cs="Times New Roman"/>
          <w:b/>
          <w:sz w:val="24"/>
        </w:rPr>
        <w:t>Expenses</w:t>
      </w:r>
      <w:r>
        <w:rPr>
          <w:rFonts w:ascii="Times New Roman" w:hAnsi="Times New Roman" w:eastAsia="Times New Roman" w:cs="Times New Roman"/>
          <w:b w:val="0"/>
          <w:sz w:val="24"/>
        </w:rPr>
        <w:t>” and “</w:t>
      </w:r>
      <w:r>
        <w:rPr>
          <w:rFonts w:ascii="Times New Roman" w:hAnsi="Times New Roman" w:eastAsia="Times New Roman" w:cs="Times New Roman"/>
          <w:b/>
          <w:sz w:val="24"/>
        </w:rPr>
        <w:t>Governing Law</w:t>
      </w:r>
      <w:r>
        <w:rPr>
          <w:rFonts w:ascii="Times New Roman" w:hAnsi="Times New Roman" w:eastAsia="Times New Roman" w:cs="Times New Roman"/>
          <w:b w:val="0"/>
          <w:sz w:val="24"/>
        </w:rPr>
        <w:t xml:space="preserve">”, which are intended to be, and are, binding agreements between the parties, this Term Sheet is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binding agreement on Buyer or any of Selling Stockholders (as defined below) to proceed with the transaction and will not impose any obligation or liability on any such party if the transactions contemplated herein are not consummated. Any such agreement will be made only if and when definitive Transaction Documents containing such agreements are agreed to and executed.</w:t>
      </w:r>
    </w:p>
    <w:p>
      <w:pPr>
        <w:keepNext w:val="0"/>
        <w:spacing w:before="120" w:after="0" w:line="260" w:lineRule="exact"/>
        <w:ind w:left="360" w:right="0" w:firstLine="0"/>
        <w:jc w:val="left"/>
      </w:pPr>
      <w:r>
        <w:rPr>
          <w:rFonts w:ascii="Times New Roman" w:hAnsi="Times New Roman" w:eastAsia="Times New Roman" w:cs="Times New Roman"/>
          <w:b w:val="0"/>
          <w:sz w:val="24"/>
        </w:rPr>
        <w:t>Parties</w:t>
      </w:r>
    </w:p>
    <w:p>
      <w:pPr>
        <w:keepNext w:val="0"/>
        <w:spacing w:before="200" w:after="0" w:line="260" w:lineRule="exact"/>
        <w:ind w:left="720" w:right="0" w:firstLine="0"/>
        <w:jc w:val="both"/>
      </w:pPr>
      <w:r>
        <w:rPr>
          <w:rFonts w:ascii="Times New Roman" w:hAnsi="Times New Roman" w:eastAsia="Times New Roman" w:cs="Times New Roman"/>
          <w:b w:val="0"/>
          <w:sz w:val="24"/>
        </w:rPr>
        <w:t>The parties to this Term Sheet (the “</w:t>
      </w:r>
      <w:r>
        <w:rPr>
          <w:rFonts w:ascii="Times New Roman" w:hAnsi="Times New Roman" w:eastAsia="Times New Roman" w:cs="Times New Roman"/>
          <w:b/>
          <w:sz w:val="24"/>
        </w:rPr>
        <w:t>Parties</w:t>
      </w:r>
      <w:r>
        <w:rPr>
          <w:rFonts w:ascii="Times New Roman" w:hAnsi="Times New Roman" w:eastAsia="Times New Roman" w:cs="Times New Roman"/>
          <w:b w:val="0"/>
          <w:sz w:val="24"/>
        </w:rPr>
        <w:t>”) are Buyer and [____________________] (the “</w:t>
      </w:r>
      <w:r>
        <w:rPr>
          <w:rFonts w:ascii="Times New Roman" w:hAnsi="Times New Roman" w:eastAsia="Times New Roman" w:cs="Times New Roman"/>
          <w:b/>
          <w:sz w:val="24"/>
        </w:rPr>
        <w:t>Selling Stockholders</w:t>
      </w:r>
      <w:r>
        <w:rPr>
          <w:rFonts w:ascii="Times New Roman" w:hAnsi="Times New Roman" w:eastAsia="Times New Roman" w:cs="Times New Roman"/>
          <w:b w:val="0"/>
          <w:sz w:val="24"/>
        </w:rPr>
        <w:t xml:space="preserve">”), the holder[s] of 100% of the common stock, par value $[0.001] per share of the Company (the “Company Stock”)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fully diluted basis.</w:t>
      </w:r>
    </w:p>
    <w:p>
      <w:pPr>
        <w:keepNext w:val="0"/>
        <w:spacing w:before="120" w:after="0" w:line="260" w:lineRule="exact"/>
        <w:ind w:left="360" w:right="0" w:firstLine="0"/>
        <w:jc w:val="left"/>
      </w:pPr>
      <w:r>
        <w:rPr>
          <w:rFonts w:ascii="Times New Roman" w:hAnsi="Times New Roman" w:eastAsia="Times New Roman" w:cs="Times New Roman"/>
          <w:b w:val="0"/>
          <w:sz w:val="24"/>
        </w:rPr>
        <w:t>Transaction Structure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Buyer, through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newly formed, wholly-owned subsidiary, will acquire all of the outstanding Company Stock from Selling Stockholders (the “</w:t>
      </w:r>
      <w:r>
        <w:rPr>
          <w:rFonts w:ascii="Times New Roman" w:hAnsi="Times New Roman" w:eastAsia="Times New Roman" w:cs="Times New Roman"/>
          <w:b/>
          <w:sz w:val="24"/>
        </w:rPr>
        <w:t>Proposed Transaction</w:t>
      </w:r>
      <w:r>
        <w:rPr>
          <w:rFonts w:ascii="Times New Roman" w:hAnsi="Times New Roman" w:eastAsia="Times New Roman" w:cs="Times New Roman"/>
          <w:b w:val="0"/>
          <w:sz w:val="24"/>
        </w:rPr>
        <w:t xml:space="preserve">”). While it is currently contemplated that the Proposed Transaction will be structured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stock purchase, the Parties may agree to use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different structure including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asset purchase or merger.</w:t>
      </w:r>
    </w:p>
    <w:p>
      <w:pPr>
        <w:keepNext w:val="0"/>
        <w:spacing w:before="120" w:after="0" w:line="260" w:lineRule="exact"/>
        <w:ind w:left="360" w:right="0" w:firstLine="0"/>
        <w:jc w:val="left"/>
      </w:pPr>
      <w:r>
        <w:rPr>
          <w:rFonts w:ascii="Times New Roman" w:hAnsi="Times New Roman" w:eastAsia="Times New Roman" w:cs="Times New Roman"/>
          <w:b w:val="0"/>
          <w:sz w:val="24"/>
        </w:rPr>
        <w:t>Purchase Price</w:t>
      </w:r>
    </w:p>
    <w:p>
      <w:pPr>
        <w:keepNext w:val="0"/>
        <w:spacing w:before="200" w:after="0" w:line="260" w:lineRule="exact"/>
        <w:ind w:left="720" w:right="0" w:firstLine="0"/>
        <w:jc w:val="both"/>
      </w:pPr>
      <w:r>
        <w:rPr>
          <w:rFonts w:ascii="Times New Roman" w:hAnsi="Times New Roman" w:eastAsia="Times New Roman" w:cs="Times New Roman"/>
          <w:b w:val="0"/>
          <w:sz w:val="24"/>
        </w:rPr>
        <w:t>Subject to the results of due diligence, upon the closing of the Proposed Transaction (the “</w:t>
      </w:r>
      <w:r>
        <w:rPr>
          <w:rFonts w:ascii="Times New Roman" w:hAnsi="Times New Roman" w:eastAsia="Times New Roman" w:cs="Times New Roman"/>
          <w:b/>
          <w:sz w:val="24"/>
        </w:rPr>
        <w:t>Closing</w:t>
      </w:r>
      <w:r>
        <w:rPr>
          <w:rFonts w:ascii="Times New Roman" w:hAnsi="Times New Roman" w:eastAsia="Times New Roman" w:cs="Times New Roman"/>
          <w:b w:val="0"/>
          <w:sz w:val="24"/>
        </w:rPr>
        <w:t xml:space="preserve">”) Buyer will pay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purchase price of up to $[____________________], or $[____________________] per share (the “</w:t>
      </w:r>
      <w:r>
        <w:rPr>
          <w:rFonts w:ascii="Times New Roman" w:hAnsi="Times New Roman" w:eastAsia="Times New Roman" w:cs="Times New Roman"/>
          <w:b/>
          <w:sz w:val="24"/>
        </w:rPr>
        <w:t>Purchase Price</w:t>
      </w:r>
      <w:r>
        <w:rPr>
          <w:rFonts w:ascii="Times New Roman" w:hAnsi="Times New Roman" w:eastAsia="Times New Roman" w:cs="Times New Roman"/>
          <w:b w:val="0"/>
          <w:sz w:val="24"/>
        </w:rPr>
        <w:t xml:space="preserve">”). The Parties will structure the payment of the Purchase Price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tax efficient manner that is mutually acceptable to the Parties.</w:t>
      </w:r>
    </w:p>
    <w:p>
      <w:pPr>
        <w:keepNext w:val="0"/>
        <w:spacing w:before="120" w:after="0" w:line="260" w:lineRule="exact"/>
        <w:ind w:left="360" w:right="0" w:firstLine="0"/>
        <w:jc w:val="left"/>
      </w:pPr>
      <w:r>
        <w:rPr>
          <w:rFonts w:ascii="Times New Roman" w:hAnsi="Times New Roman" w:eastAsia="Times New Roman" w:cs="Times New Roman"/>
          <w:b w:val="0"/>
          <w:sz w:val="24"/>
        </w:rPr>
        <w:t>Management Equity Rollover</w:t>
      </w:r>
    </w:p>
    <w:p>
      <w:pPr>
        <w:keepNext w:val="0"/>
        <w:spacing w:before="200" w:after="0" w:line="260" w:lineRule="exact"/>
        <w:ind w:left="720" w:right="0" w:firstLine="0"/>
        <w:jc w:val="both"/>
      </w:pPr>
      <w:r>
        <w:rPr>
          <w:rFonts w:ascii="Times New Roman" w:hAnsi="Times New Roman" w:eastAsia="Times New Roman" w:cs="Times New Roman"/>
          <w:b w:val="0"/>
          <w:sz w:val="24"/>
        </w:rPr>
        <w:t>Senior management of the Company, including without limitation [____________________], [____________________] and [____________________], shall roll-over such number of shares of Company Stock currently held by them as will result in such individuals holding [_____]% of the fully-diluted ownership of the Company immediately after the Closing.</w:t>
      </w:r>
    </w:p>
    <w:p>
      <w:pPr>
        <w:keepNext w:val="0"/>
        <w:spacing w:before="120" w:after="0" w:line="260" w:lineRule="exact"/>
        <w:ind w:left="360" w:right="0" w:firstLine="0"/>
        <w:jc w:val="left"/>
      </w:pPr>
      <w:r>
        <w:rPr>
          <w:rFonts w:ascii="Times New Roman" w:hAnsi="Times New Roman" w:eastAsia="Times New Roman" w:cs="Times New Roman"/>
          <w:b w:val="0"/>
          <w:sz w:val="24"/>
        </w:rPr>
        <w:t>Earn-out</w:t>
      </w:r>
    </w:p>
    <w:p>
      <w:pPr>
        <w:keepNext w:val="0"/>
        <w:spacing w:before="200" w:after="0" w:line="260" w:lineRule="exact"/>
        <w:ind w:left="720" w:right="0" w:firstLine="0"/>
        <w:jc w:val="both"/>
      </w:pPr>
      <w:r>
        <w:rPr>
          <w:rFonts w:ascii="Times New Roman" w:hAnsi="Times New Roman" w:eastAsia="Times New Roman" w:cs="Times New Roman"/>
          <w:b w:val="0"/>
          <w:sz w:val="24"/>
        </w:rPr>
        <w:t>Up to [$[____________________]/[_____]%] of the total Purchase Price will be payable over [_____] years following the Closing upon achievement of financial milestones to be set forth in the Purchase Agreement.</w:t>
      </w:r>
    </w:p>
    <w:p>
      <w:pPr>
        <w:keepNext w:val="0"/>
        <w:spacing w:before="120" w:after="0" w:line="260" w:lineRule="exact"/>
        <w:ind w:left="360" w:right="0" w:firstLine="0"/>
        <w:jc w:val="left"/>
      </w:pPr>
      <w:r>
        <w:rPr>
          <w:rFonts w:ascii="Times New Roman" w:hAnsi="Times New Roman" w:eastAsia="Times New Roman" w:cs="Times New Roman"/>
          <w:b w:val="0"/>
          <w:sz w:val="24"/>
        </w:rPr>
        <w:t>Escrow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[$[____________________]/[_____]%] of the total Purchase Price will be held for [_____] months in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escrow account at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independent financial institution to be agreed by the parties to be used for satisfaction of any claims by the Buyer under the Transaction Documents.</w:t>
      </w:r>
    </w:p>
    <w:p>
      <w:pPr>
        <w:keepNext w:val="0"/>
        <w:spacing w:before="120" w:after="0" w:line="260" w:lineRule="exact"/>
        <w:ind w:left="360" w:right="0" w:firstLine="0"/>
        <w:jc w:val="left"/>
      </w:pPr>
      <w:r>
        <w:rPr>
          <w:rFonts w:ascii="Times New Roman" w:hAnsi="Times New Roman" w:eastAsia="Times New Roman" w:cs="Times New Roman"/>
          <w:b w:val="0"/>
          <w:sz w:val="24"/>
        </w:rPr>
        <w:t>Due Diligence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Buyer shall conduct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due diligence investigation of the Company, including its books and records, operations, and properties. The Selling Stockholders shall cause the Company to provide Buyer and its Representatives all reasonable opportunity and access during normal business hours to inspect and investigate the assets and information concerning [the customers, suppliers, vendors, employees, and] the business of the Company for purposes of conducting Buyer’s due diligence.</w:t>
      </w:r>
    </w:p>
    <w:p>
      <w:pPr>
        <w:keepNext w:val="0"/>
        <w:spacing w:before="120" w:after="0" w:line="260" w:lineRule="exact"/>
        <w:ind w:left="360" w:right="0" w:firstLine="0"/>
        <w:jc w:val="left"/>
      </w:pPr>
      <w:r>
        <w:rPr>
          <w:rFonts w:ascii="Times New Roman" w:hAnsi="Times New Roman" w:eastAsia="Times New Roman" w:cs="Times New Roman"/>
          <w:b w:val="0"/>
          <w:sz w:val="24"/>
        </w:rPr>
        <w:t>Representations and Warranties</w:t>
      </w:r>
    </w:p>
    <w:p>
      <w:pPr>
        <w:keepNext w:val="0"/>
        <w:spacing w:before="200" w:after="0" w:line="260" w:lineRule="exact"/>
        <w:ind w:left="720" w:right="0" w:firstLine="0"/>
        <w:jc w:val="both"/>
      </w:pPr>
      <w:r>
        <w:rPr>
          <w:rFonts w:ascii="Times New Roman" w:hAnsi="Times New Roman" w:eastAsia="Times New Roman" w:cs="Times New Roman"/>
          <w:b w:val="0"/>
          <w:sz w:val="24"/>
        </w:rPr>
        <w:t>The Purchase Agreement shall contain customary representations and warranties, including without limitation, representations as to corporate organization and authority, capitalization, consents and approvals, compliance with laws, financial statements, title to assets, undisclosed liabilities, indebtedness, contracts, customers and suppliers, intellectual property, real property, environmental matters, employee benefit matters and taxes.</w:t>
      </w:r>
    </w:p>
    <w:p>
      <w:pPr>
        <w:keepNext w:val="0"/>
        <w:spacing w:before="120" w:after="0" w:line="260" w:lineRule="exact"/>
        <w:ind w:left="360" w:right="0" w:firstLine="0"/>
        <w:jc w:val="left"/>
      </w:pPr>
      <w:r>
        <w:rPr>
          <w:rFonts w:ascii="Times New Roman" w:hAnsi="Times New Roman" w:eastAsia="Times New Roman" w:cs="Times New Roman"/>
          <w:b w:val="0"/>
          <w:sz w:val="24"/>
        </w:rPr>
        <w:t>Conditions to Closing</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The Closing shall be subject to customary conditions, including but not limited to: completion of due diligence satisfactory to Buyer, in its sole discretion; negotiation, drafting, and execution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definitive Purchase Agreement and other Transaction Documents acceptable to the parties; the receipt of consent of the board of directors and stockholders of the Company to the transaction; the receipt of all necessary regulatory approvals and consents of third parties; the absence of any material adverse change in the condition (financial or otherwise), assets, liabilities, business, results of operation, or prospects of the Company; the representations and warranties in the Purchase Agreement being true and correct as of the Closing Date; no order shall be in effect prohibiting, enjoining or restraining the consummation of the transaction; and each party to the Purchase Agreement shall have complied with all obligations of such party contained therein.</w:t>
      </w:r>
    </w:p>
    <w:p>
      <w:pPr>
        <w:keepNext w:val="0"/>
        <w:spacing w:before="120" w:after="0" w:line="260" w:lineRule="exact"/>
        <w:ind w:left="360" w:right="0" w:firstLine="0"/>
        <w:jc w:val="left"/>
      </w:pPr>
      <w:r>
        <w:rPr>
          <w:rFonts w:ascii="Times New Roman" w:hAnsi="Times New Roman" w:eastAsia="Times New Roman" w:cs="Times New Roman"/>
          <w:b w:val="0"/>
          <w:sz w:val="24"/>
        </w:rPr>
        <w:t>Non-Compete</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At the Closing, each Selling Stockholder will execute and deliver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non-competition and non-solicitation agreement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Non-Competition Agreement</w:t>
      </w:r>
      <w:r>
        <w:rPr>
          <w:rFonts w:ascii="Times New Roman" w:hAnsi="Times New Roman" w:eastAsia="Times New Roman" w:cs="Times New Roman"/>
          <w:b w:val="0"/>
          <w:sz w:val="24"/>
        </w:rPr>
        <w:t xml:space="preserve">") with Buyer, each of which will have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term of [_____] years from the Closing Date and will contain other customary representations, warranties, conditions and covenants mutually satisfactory to the Parties.</w:t>
      </w:r>
    </w:p>
    <w:p>
      <w:pPr>
        <w:keepNext w:val="0"/>
        <w:spacing w:before="120" w:after="0" w:line="260" w:lineRule="exact"/>
        <w:ind w:left="360" w:right="0" w:firstLine="0"/>
        <w:jc w:val="left"/>
      </w:pPr>
      <w:r>
        <w:rPr>
          <w:rFonts w:ascii="Times New Roman" w:hAnsi="Times New Roman" w:eastAsia="Times New Roman" w:cs="Times New Roman"/>
          <w:b w:val="0"/>
          <w:sz w:val="24"/>
        </w:rPr>
        <w:t>Indemnification</w:t>
      </w:r>
    </w:p>
    <w:p>
      <w:pPr>
        <w:keepNext w:val="0"/>
        <w:spacing w:before="200" w:after="0" w:line="260" w:lineRule="exact"/>
        <w:ind w:left="720" w:right="0" w:firstLine="0"/>
        <w:jc w:val="both"/>
      </w:pPr>
      <w:r>
        <w:rPr>
          <w:rFonts w:ascii="Times New Roman" w:hAnsi="Times New Roman" w:eastAsia="Times New Roman" w:cs="Times New Roman"/>
          <w:b w:val="0"/>
          <w:sz w:val="24"/>
        </w:rPr>
        <w:t>The Selling Stockholders, [jointly and severally/severally and not jointly], will indemnify Buyer for claims relating to any inaccuracy or breach of any representation, warranty and covenant contained in the Purchase Agreement and any other pre-Closing liabilities of the Company not assumed by Buyer and specified in the Purchase Agreement, including without limitation, liabilities for taxes, employee benefits, and environmental matters. The aggregate liability of the stockholders for claims arising out of violations of representations, other than “Fundamental Representations” as will be identified in the Purchase Agreement, will be $[____________________].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Exclusivity</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Upon execution of this Term Sheet,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period not to exceed [_____] calendar days from the date thereof, the Selling Stockholders will, and will cause the Company and each of their affiliates and their affiliates’ officers, directors, employees, agents and other Representatives to immediately cease any and all discussions and negotiations concerning the contemplation, consideration or making of any Alternate Proposal (as defined below) [and cease to make any confidential or proprietary information available to third parties in connection with any Alternate Proposal], and to refrain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soliciting, initiating or [knowingly] encouraging the submission of proposals or offers relating to, (b) participating in any discussions or negotiations with any person relating to, (c) furnishing to any person any information with respect to, or (d) taking any other action to facilitate or cooperate in any way with the making of any proposal that constitutes, or may reasonably be expected to lead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direct or indirect acquisition, recapitalization, purchase of any capital stock or other equity interest in, or any of the businesses of, the Company,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merger, consolidation or other business combination involving the Company, or similar transactions involving all or any substantial portion of the Company’s business, securities or assets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Alternate Proposal</w:t>
      </w:r>
      <w:r>
        <w:rPr>
          <w:rFonts w:ascii="Times New Roman" w:hAnsi="Times New Roman" w:eastAsia="Times New Roman" w:cs="Times New Roman"/>
          <w:b w:val="0"/>
          <w:sz w:val="24"/>
        </w:rPr>
        <w:t>”).</w:t>
      </w:r>
    </w:p>
    <w:p>
      <w:pPr>
        <w:keepNext w:val="0"/>
        <w:spacing w:before="120" w:after="0" w:line="260" w:lineRule="exact"/>
        <w:ind w:left="360" w:right="0" w:firstLine="0"/>
        <w:jc w:val="left"/>
      </w:pPr>
      <w:r>
        <w:rPr>
          <w:rFonts w:ascii="Times New Roman" w:hAnsi="Times New Roman" w:eastAsia="Times New Roman" w:cs="Times New Roman"/>
          <w:b w:val="0"/>
          <w:sz w:val="24"/>
        </w:rPr>
        <w:t>Expenses</w:t>
      </w:r>
    </w:p>
    <w:p>
      <w:pPr>
        <w:keepNext w:val="0"/>
        <w:spacing w:before="200" w:after="0" w:line="260" w:lineRule="exact"/>
        <w:ind w:left="720" w:right="0" w:firstLine="0"/>
        <w:jc w:val="both"/>
      </w:pPr>
      <w:r>
        <w:rPr>
          <w:rFonts w:ascii="Times New Roman" w:hAnsi="Times New Roman" w:eastAsia="Times New Roman" w:cs="Times New Roman"/>
          <w:b w:val="0"/>
          <w:sz w:val="24"/>
        </w:rPr>
        <w:t>Each party shall bear its own legal, accounting and other fees and expenses incurred in connection with the Proposed Transaction, whether or not the Transaction Documents are executed or the Closing of the Proposed Transaction contemplated by this Term Sheet occurs.</w:t>
      </w:r>
    </w:p>
    <w:p>
      <w:pPr>
        <w:keepNext w:val="0"/>
        <w:spacing w:before="120" w:after="0" w:line="260" w:lineRule="exact"/>
        <w:ind w:left="360" w:right="0" w:firstLine="0"/>
        <w:jc w:val="left"/>
      </w:pPr>
      <w:r>
        <w:rPr>
          <w:rFonts w:ascii="Times New Roman" w:hAnsi="Times New Roman" w:eastAsia="Times New Roman" w:cs="Times New Roman"/>
          <w:b w:val="0"/>
          <w:sz w:val="24"/>
        </w:rPr>
        <w:t>Confidentiality</w:t>
      </w:r>
    </w:p>
    <w:p>
      <w:pPr>
        <w:keepNext w:val="0"/>
        <w:spacing w:before="200" w:after="0" w:line="260" w:lineRule="exact"/>
        <w:ind w:left="720" w:right="0" w:firstLine="0"/>
        <w:jc w:val="both"/>
      </w:pPr>
      <w:r>
        <w:rPr>
          <w:rFonts w:ascii="Times New Roman" w:hAnsi="Times New Roman" w:eastAsia="Times New Roman" w:cs="Times New Roman"/>
          <w:b w:val="0"/>
          <w:sz w:val="24"/>
        </w:rPr>
        <w:t>Unless otherwise mutually agreed upon by the parties as to the timing and content of any public announcement or press release, each of the parties agrees to keep the terms of this Term Sheet and the Transaction Documents and all other information exchanged by the parties confidential, pursuant to the terms of the Confidentiality and Non-Disclosure Agreement, dated [_____], among the parties.</w:t>
      </w:r>
    </w:p>
    <w:p>
      <w:pPr>
        <w:keepNext w:val="0"/>
        <w:spacing w:before="120" w:after="0" w:line="260" w:lineRule="exact"/>
        <w:ind w:left="360" w:right="0" w:firstLine="0"/>
        <w:jc w:val="left"/>
      </w:pPr>
      <w:r>
        <w:rPr>
          <w:rFonts w:ascii="Times New Roman" w:hAnsi="Times New Roman" w:eastAsia="Times New Roman" w:cs="Times New Roman"/>
          <w:b w:val="0"/>
          <w:sz w:val="24"/>
        </w:rPr>
        <w:t>Governing Law</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This Term Sheet shall be deemed to be made in and in all respects shall be interpreted, construed and governed by and in accordance with the laws of the State of [____________________] without regard to the conflicts of law provisions thereof to the extent that such principles would direct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matter to another jurisdiction.</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This offer will remain open until 5:00pm [Eastern] Time on [_____]. If this Term Sheet sets forth the general terms of the proposed transaction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consistent with your understanding, kindly so indicate by signing below and returning to the undersigned the enclosed duplicate of this Term Sheet. This Term Sheet may be executed in one or more counterparts, each of which shall be deemed to be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shall constitute one agreement. Photocopies, facsimile transmissions, or email transmissions of Adobe portable document format files (also known as “PDF” files) of signatures shall be deemed original signatures and shall be binding on the Parties to the same extent as original signatures.</w:t>
      </w:r>
    </w:p>
    <w:p>
      <w:pPr/>
    </w:p>
    <w:p>
      <w:pPr>
        <w:keepNext w:val="0"/>
        <w:spacing w:before="120" w:after="0" w:line="260" w:lineRule="exact"/>
        <w:ind w:left="360" w:right="0" w:firstLine="0"/>
        <w:jc w:val="left"/>
      </w:pPr>
      <w:r>
        <w:rPr>
          <w:rFonts w:ascii="Times New Roman" w:hAnsi="Times New Roman" w:eastAsia="Times New Roman" w:cs="Times New Roman"/>
          <w:b w:val="0"/>
          <w:sz w:val="24"/>
        </w:rPr>
        <w:t>Buyer</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Selling Stockholders</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keepNext w:val="0"/>
        <w:spacing w:before="120" w:after="0" w:line="260" w:lineRule="exact"/>
        <w:ind w:left="360" w:right="0" w:firstLine="0"/>
        <w:jc w:val="left"/>
      </w:pPr>
      <w:r>
        <w:rPr>
          <w:rFonts w:ascii="Times New Roman" w:hAnsi="Times New Roman" w:eastAsia="Times New Roman" w:cs="Times New Roman"/>
          <w:b w:val="0"/>
          <w:sz w:val="24"/>
        </w:rPr>
        <w:t>_________________</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