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Term Sheet — Conditions Annex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EXHIBIT D</w:t>
      </w:r>
    </w:p>
    <w:p>
      <w:pPr>
        <w:keepNext w:val="0"/>
        <w:spacing w:before="200" w:after="0" w:line="260" w:lineRule="exact"/>
        <w:ind w:left="360" w:right="0" w:firstLine="0"/>
        <w:jc w:val="both"/>
      </w:pPr>
      <w:r>
        <w:rPr>
          <w:rFonts w:ascii="Times New Roman" w:hAnsi="Times New Roman" w:eastAsia="Times New Roman" w:cs="Times New Roman"/>
          <w:b w:val="0"/>
          <w:sz w:val="24"/>
        </w:rPr>
        <w:t>Capitalized terms not otherwise defined herein have the same meanings as specified therefor in the Commitment Letter to which this Exhibit D is attached.</w:t>
      </w:r>
    </w:p>
    <w:p>
      <w:pPr>
        <w:keepNext w:val="0"/>
        <w:spacing w:before="200" w:after="0" w:line="260" w:lineRule="exact"/>
        <w:ind w:left="360" w:right="0" w:firstLine="0"/>
        <w:jc w:val="both"/>
      </w:pPr>
      <w:r>
        <w:rPr>
          <w:rFonts w:ascii="Times New Roman" w:hAnsi="Times New Roman" w:eastAsia="Times New Roman" w:cs="Times New Roman"/>
          <w:b w:val="0"/>
          <w:sz w:val="24"/>
        </w:rPr>
        <w:t>The initial extensions of credit under the Facilities shall be subject to the satisfaction (or waiver by the applicable Initial Lenders) of the conditions listed below, in addition to the conditions expressly set forth in the Commitment Letter and the Term Sheets.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Lead Arranger shall have reviewed, and be satisfied with, [the final structure, terms and conditions and the documentation relating to the Acquisition, including] the [Acquisition] Agreement including the schedules thereto and the [Disclosure Schedule] (it being understood that the Lead Arranger is satisfied with each of the draft [acquisition] agreement dated [__________], 20[__] (the "</w:t>
      </w:r>
      <w:r>
        <w:rPr>
          <w:rFonts w:ascii="Times New Roman" w:hAnsi="Times New Roman" w:eastAsia="Times New Roman" w:cs="Times New Roman"/>
          <w:b w:val="0"/>
          <w:sz w:val="24"/>
        </w:rPr>
        <w:t>Draft Acquisition Agreement</w:t>
      </w:r>
      <w:r>
        <w:rPr>
          <w:rFonts w:ascii="Times New Roman" w:hAnsi="Times New Roman" w:eastAsia="Times New Roman" w:cs="Times New Roman"/>
          <w:b w:val="0"/>
          <w:sz w:val="24"/>
        </w:rPr>
        <w:t>")and the [Seller Disclosure Schedule] dated [__________], 20[__] provided to the Lead Arranger. The Acquisition and the other Transactions [shall have been consummated / shall be consummated substantially concurrently with the initial funding of the Facilities] in compliance with applicable law and in accordance with the [Acquisition] Agreement, without giving effect to any modifications, amendments or express waivers thereof or any consents thereunder (including any change in the purchase price) that are materially adverse to the interests of the Lenders or the Lead Arranger unless consented to by the Lead Arranger[, such consent not to be unreasonably withheld, delayed or conditioned][.]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in all respects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Commitment Letter and the Documentation Principles, the] [The] Facilities Documentation shall be executed and delivered in form and substance reasonably satisfactory to the Lead Arranger and its counsel, including without limitation credit agreements, guaranties and other documentation reflecting the terms and conditions set forth herein, in the Commitment Letter and in the Term Sheets.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the Closing Date, after giving effect to the Transactions, neither the Borrower nor any of its subsidiaries shall have any material indebtedness for borrowed money other than (i) the Facilities [and the Notes] and (ii) indebtedness permitted to be incurred or outstanding under the Facilities.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Since [__________], 20[__] there shall not have been any event, change, occurrence, development or effect which has had or would be reasonably expected to have, individually or in the aggregate,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Material Adverse Effect (as defined below). For purposes hereof, "Company Material Adverse Effect" means [defined term from the [Acquisition]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Borrower shall have received gross cash proceeds of at least $[__________] from [borrowings under the [Revolving Credit Facility / Term Loan Facilities / Second Lien Facility /Bridge Loan Facility]]/ issuance of the Notes].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Borrower shall have received the proceeds of the Equity Financing. The terms and documentation of the Equity Financing and Equity Rollover (to the extent either of which does not consist of common stock) shall be reasonably satisfactory to the Lead Arranger.]</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 respect to the First Lien Facilities only, the First Lien Administrative Agent and the Second Lien Administrative Agent shall have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intercreditor agreement in form and substance reasonably satisfactory to the First Lien Administrative Agent and the Lenders providing, among other things, that the liens securing the Second Lien Facility are junior in priority to the liens securing the First Lien Facilities.]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representations and warranties set forth in (i) the [Acquisition] Agreement, [subject to the terms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Commitment Letter,] shall be true and correct such that the conditions to closing set forth in the [Acquisition] Agreement are satisfied with respect thereto, [and (ii) the Specified Representations shall be true and correct in all material respects (except any representation and warranty that is qualified as to "materiality," "material adverse effect" or similar language shall be true and correct in all respects (after giving effect to any such qualification therein))].</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Lead Arranger shall have received: (i) the audited consolidated balance sheets and related consolidated statements of operations, cash flows and shareholders' equity of each of the Borrower and the Acquired Business for [each of the last three fiscal years/the 20[__] fiscal year] (the "</w:t>
      </w:r>
      <w:r>
        <w:rPr>
          <w:rFonts w:ascii="Times New Roman" w:hAnsi="Times New Roman" w:eastAsia="Times New Roman" w:cs="Times New Roman"/>
          <w:b w:val="0"/>
          <w:sz w:val="24"/>
        </w:rPr>
        <w:t>Audited Financial Statements</w:t>
      </w:r>
      <w:r>
        <w:rPr>
          <w:rFonts w:ascii="Times New Roman" w:hAnsi="Times New Roman" w:eastAsia="Times New Roman" w:cs="Times New Roman"/>
          <w:b w:val="0"/>
          <w:sz w:val="24"/>
        </w:rPr>
        <w:t xml:space="preserve">"), accompanied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unqualified report thereon by their respective independent registered public accountants; (ii) the unaudited consolidated balance sheets and related statements of operations and cash flows of each of the Borrower and the Acquired Business for each subsequent fiscal quarter of the Borrower and the Acquired Business, respectively, ended at least 45 days before the Closing Date (the "</w:t>
      </w:r>
      <w:r>
        <w:rPr>
          <w:rFonts w:ascii="Times New Roman" w:hAnsi="Times New Roman" w:eastAsia="Times New Roman" w:cs="Times New Roman"/>
          <w:b w:val="0"/>
          <w:sz w:val="24"/>
        </w:rPr>
        <w:t>Quarterly Financial Statements</w:t>
      </w:r>
      <w:r>
        <w:rPr>
          <w:rFonts w:ascii="Times New Roman" w:hAnsi="Times New Roman" w:eastAsia="Times New Roman" w:cs="Times New Roman"/>
          <w:b w:val="0"/>
          <w:sz w:val="24"/>
        </w:rPr>
        <w:t xml:space="preserve">")]; and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forma consolidated [and consolidating] balance sheet and related statements of operations and cash flows of the Borrower and its subsidiaries (including the Acquired Business) [for the last fiscal year covered by the Audited Financial Statements] [and] for the twelve-month period ending with the latest quarterly period of the Borrower covered by the Quarterly Financial Statements, [in each case] after giving effect to the Transactions (the "</w:t>
      </w:r>
      <w:r>
        <w:rPr>
          <w:rFonts w:ascii="Times New Roman" w:hAnsi="Times New Roman" w:eastAsia="Times New Roman" w:cs="Times New Roman"/>
          <w:b w:val="0"/>
          <w:sz w:val="24"/>
        </w:rPr>
        <w:t>Pro Forma Financial Statements</w:t>
      </w:r>
      <w:r>
        <w:rPr>
          <w:rFonts w:ascii="Times New Roman" w:hAnsi="Times New Roman" w:eastAsia="Times New Roman" w:cs="Times New Roman"/>
          <w:b w:val="0"/>
          <w:sz w:val="24"/>
        </w:rPr>
        <w:t xml:space="preserve">"), all of which financial statements shall be prepared in accordance with generally accepted accounting principles in the United States and the Pro Forma Financial Statements shall be prepared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consistent with pro forma financial statements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filed with the Securities and Exchange Commission.</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Administrative Agent[s]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borrowing in accordance with the terms of the Facilities Documentation.</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Lenders shall have received customary opinions of counsel for the Borrower and the Guarantors and of local counsel, as applicable, and such opinions, corporate resolutions, certificates and other customary closing documentation,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solvency certificate from the Chief Financial Officer of the Borrower [and each Guarantor] in form and substance reasonably satisfactory to the Lead Arranger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solvency opinion,] as well as such other documents as the Lenders may request, in each case customary for transactions of this type.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governmental and third party consents required by the [Acquisition] Agreement and all equity holder and board of director (or comparable entity management body) authorizations which are required by law to effectuate the consummation of such Acquisition shall have been obtained by the Borrower and shall be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instruments necessary to establish that the Collateral Agent will have perfected security interests (subject to liens permitted under the documentation for the Senior Credit Facilities) in the collateral described under the heading "Security" in the Term Sheets shall have been executed and delivered and, if applicable, be in proper form for filing;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condition in this clause (i) shall be subject in all respects to the Certain Funds Provision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Administrative Agent[s] shall have received, at least [three (3)] business days prior to the Closing Date, all documentation and other information required by regulatory authorities under applicable "know your customer" and anti-money laundering rules and regulations, including the PATRIOT Act, that has been reasonably requested in writing at least [five (5)] business days prior to the Closing Date by the Lenders.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accrued costs, fees and expenses (including legal fees and expenses and the fees and expenses of any other advisors) that have been invoiced at least [two (2)] business days prior to the Closing Date that are payable to the Administrative Agent[s], the Lead Arranger and the Lenders shall have been paid.</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of the requirements referred to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the Commitment Letter shall have been satisfied, and the Closing Date shall not occur less than [thirty (30)] days after the delivery to the Lead Arranger of the final confidential information memorandum and other marketing materials referred to therein, which period shall exclude certain market holiday related "blackout" periods as reasonably determined by the Lead Arranger.</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 respect to the Bridge Loan Facility, (i) the Borrower shall have engaged the Investment Bank referred to in the Fee Letter to place the Securities referred to therein (the "</w:t>
      </w:r>
      <w:r>
        <w:rPr>
          <w:rFonts w:ascii="Times New Roman" w:hAnsi="Times New Roman" w:eastAsia="Times New Roman" w:cs="Times New Roman"/>
          <w:b w:val="0"/>
          <w:sz w:val="24"/>
        </w:rPr>
        <w:t>Take-out Financing</w:t>
      </w:r>
      <w:r>
        <w:rPr>
          <w:rFonts w:ascii="Times New Roman" w:hAnsi="Times New Roman" w:eastAsia="Times New Roman" w:cs="Times New Roman"/>
          <w:b w:val="0"/>
          <w:sz w:val="24"/>
        </w:rPr>
        <w:t xml:space="preserve">"), (ii) the Lead Arrangers and the Investment Bank each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offering memorandum or private placement memorandum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Offering Memorandum</w:t>
      </w:r>
      <w:r>
        <w:rPr>
          <w:rFonts w:ascii="Times New Roman" w:hAnsi="Times New Roman" w:eastAsia="Times New Roman" w:cs="Times New Roman"/>
          <w:b w:val="0"/>
          <w:sz w:val="24"/>
        </w:rPr>
        <w:t xml:space="preserve">") (all as determined by,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reasonably satisfactory to, the Investment Bank but in any event including all financial statements and other information that would be required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on Form S-1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registered under the Securities Act) relating to the Take-out Financing, (iii) the Borrower shall have caused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independent registered public accountants of the Borrower and the Acquired Business to render customary "comfort letters" (including customary "negative assurance" comfort) with respect to the financial information in the Offering Memorandum and (B) the senior management and other representatives of the Sponsor and the Borrower, and used its commercially reasonable efforts to cause the senior management and other representatives of the Acquired Business, to provide access in connection with due diligence investigations and to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customary high-yield "road show" during the Marketing Period (as defined below), and (iv) the Investment Bank shall have been afforded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at least [twenty–one (21)] consecutive [calendar/business] days (or such shorter period reasonably acceptable to the Lead Arranger) commencing on the date of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Offering Memorandum (at no time during which period the financial information in the Offering Memorandum shall be "stale") and ending on the [third] business day prior to the Closing Date to seek to offer and sell or privately place the Take-out Financing with qualified purchasers thereof (the "</w:t>
      </w:r>
      <w:r>
        <w:rPr>
          <w:rFonts w:ascii="Times New Roman" w:hAnsi="Times New Roman" w:eastAsia="Times New Roman" w:cs="Times New Roman"/>
          <w:b w:val="0"/>
          <w:sz w:val="24"/>
        </w:rPr>
        <w:t>Bond Marketing Period</w:t>
      </w:r>
      <w:r>
        <w:rPr>
          <w:rFonts w:ascii="Times New Roman" w:hAnsi="Times New Roman" w:eastAsia="Times New Roman" w:cs="Times New Roman"/>
          <w:b w:val="0"/>
          <w:sz w:val="24"/>
        </w:rPr>
        <w:t xml:space="preserve">"); provided that such [twenty–one (21)] [calendar/business]-day period shall (x) either end on or prior to [__________], 20[__] or begin no earlier than [__________], 20[__] and (y) exclude [__________], 20[__] through [__________], 20[__], which for purposes of calculating the Marketing Period shall not constitute [calendar / business] days. The Lead Arranger shall be satisfied that the Borrower and the Sponsor have used all commercially reasonable efforts to cause the Take-out Financing to be issued and sold on or prior to the Closing Date. To the extent the Take-out Financing is not consummated on or prior to the Closing Date, this condition shall continue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covenant following the Closing Date (with the references to specific dates and periods being disregarded).]</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 respect to the First Lien Facilities, the Arrangers shall have received the Information Materials from the Borrower not later than [fifteen (15]) consecutive [calendar/business] days prior to the Closing Date (the "</w:t>
      </w:r>
      <w:r>
        <w:rPr>
          <w:rFonts w:ascii="Times New Roman" w:hAnsi="Times New Roman" w:eastAsia="Times New Roman" w:cs="Times New Roman"/>
          <w:b w:val="0"/>
          <w:sz w:val="24"/>
        </w:rPr>
        <w:t>Bank Marketing Period</w:t>
      </w:r>
      <w:r>
        <w:rPr>
          <w:rFonts w:ascii="Times New Roman" w:hAnsi="Times New Roman" w:eastAsia="Times New Roman" w:cs="Times New Roman"/>
          <w:b w:val="0"/>
          <w:sz w:val="24"/>
        </w:rPr>
        <w:t>"); provided that such [fifteen (15)] [calendar/business]-day period shall (x) either end on or prior to [__________], 20[__] or begin no earlier than [__________], 20[__] and (y) exclude [__________], 20[__] through [__________], 20[__], which for purposes of calculating the Bank Marketing Period shall not constitute [calendar / business] days.]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Administrative Agent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process agent located in [New York] reasonably acceptable to the Administrative Agent as process agent for the Borrower in form and substance reasonably acceptable to the Administrative Agent.]</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Lead Arranger shall be satisfied with the results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customary due diligence investigation, including business, legal, tax, and environmental diligence.]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