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 Sheet — Senior [Subordinated] Unsecured Bridge Facility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SUMMARY OF TERMS AND CONDITIONS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Capitalized terms not otherwise defined herein have the same meanings as specified therefor in the Commitment Letter to which this Summary of Terms and Conditions is attached.</w:t>
      </w:r>
    </w:p>
    <w:p>
      <w:pPr>
        <w:keepNext w:val="0"/>
        <w:spacing w:before="120" w:after="0" w:line="260" w:lineRule="exact"/>
        <w:ind w:left="720" w:right="0" w:firstLine="0"/>
        <w:jc w:val="left"/>
      </w:pPr>
      <w:r>
        <w:rPr>
          <w:rFonts w:ascii="Times New Roman" w:hAnsi="Times New Roman" w:eastAsia="Times New Roman" w:cs="Times New Roman"/>
          <w:b/>
          <w:sz w:val="24"/>
        </w:rPr>
        <w:t>Borrower:</w:t>
      </w:r>
    </w:p>
    <w:p>
      <w:pPr>
        <w:keepNext w:val="0"/>
        <w:spacing w:before="200" w:after="0" w:line="260" w:lineRule="exact"/>
        <w:ind w:left="1080" w:right="0" w:firstLine="0"/>
        <w:jc w:val="both"/>
      </w:pPr>
      <w:r>
        <w:rPr>
          <w:rFonts w:ascii="Times New Roman" w:hAnsi="Times New Roman" w:eastAsia="Times New Roman" w:cs="Times New Roman"/>
          <w:b w:val="0"/>
          <w:sz w:val="24"/>
        </w:rPr>
        <w:t>Same as the Borrower for the Senior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Sole Bridge Lead Arranger and Sole Bridge Bookrunner:</w:t>
      </w:r>
    </w:p>
    <w:p>
      <w:pPr>
        <w:keepNext w:val="0"/>
        <w:spacing w:before="200" w:after="0" w:line="260" w:lineRule="exact"/>
        <w:ind w:left="1080" w:right="0" w:firstLine="0"/>
        <w:jc w:val="both"/>
      </w:pPr>
      <w:r>
        <w:rPr>
          <w:rFonts w:ascii="Times New Roman" w:hAnsi="Times New Roman" w:eastAsia="Times New Roman" w:cs="Times New Roman"/>
          <w:b w:val="0"/>
          <w:sz w:val="24"/>
        </w:rPr>
        <w:t>[name of financial institution] will act as the sole lead arranger and sole bookrunner (in such capacity, the "</w:t>
      </w:r>
      <w:r>
        <w:rPr>
          <w:rFonts w:ascii="Times New Roman" w:hAnsi="Times New Roman" w:eastAsia="Times New Roman" w:cs="Times New Roman"/>
          <w:b w:val="0"/>
          <w:sz w:val="24"/>
        </w:rPr>
        <w:t>Bridge Lead Arranger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Bridge Lenders:</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syndicate of banks, financial institutions and other entities arranged by the Bridge Lead Arranger [in consultation with the Borrower] (collectively, the "</w:t>
      </w:r>
      <w:r>
        <w:rPr>
          <w:rFonts w:ascii="Times New Roman" w:hAnsi="Times New Roman" w:eastAsia="Times New Roman" w:cs="Times New Roman"/>
          <w:b w:val="0"/>
          <w:sz w:val="24"/>
        </w:rPr>
        <w:t>Bridge Lenders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Bridge Administrative Agent:</w:t>
      </w:r>
    </w:p>
    <w:p>
      <w:pPr>
        <w:keepNext w:val="0"/>
        <w:spacing w:before="200" w:after="0" w:line="260" w:lineRule="exact"/>
        <w:ind w:left="1080" w:right="0" w:firstLine="0"/>
        <w:jc w:val="both"/>
      </w:pPr>
      <w:r>
        <w:rPr>
          <w:rFonts w:ascii="Times New Roman" w:hAnsi="Times New Roman" w:eastAsia="Times New Roman" w:cs="Times New Roman"/>
          <w:b w:val="0"/>
          <w:sz w:val="24"/>
        </w:rPr>
        <w:t>[name of financial institution] (in such capacity, the "</w:t>
      </w:r>
      <w:r>
        <w:rPr>
          <w:rFonts w:ascii="Times New Roman" w:hAnsi="Times New Roman" w:eastAsia="Times New Roman" w:cs="Times New Roman"/>
          <w:b w:val="0"/>
          <w:sz w:val="24"/>
        </w:rPr>
        <w:t>Bridge Administrative Agent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Type and Amount of Facility:</w:t>
      </w:r>
    </w:p>
    <w:p>
      <w:pPr>
        <w:keepNext w:val="0"/>
        <w:spacing w:before="200" w:after="0" w:line="260" w:lineRule="exact"/>
        <w:ind w:left="1080" w:right="0" w:firstLine="0"/>
        <w:jc w:val="both"/>
      </w:pPr>
      <w:r>
        <w:rPr>
          <w:rFonts w:ascii="Times New Roman" w:hAnsi="Times New Roman" w:eastAsia="Times New Roman" w:cs="Times New Roman"/>
          <w:b w:val="0"/>
          <w:sz w:val="24"/>
        </w:rPr>
        <w:t>Senior [subordinated] unsecured bridge facility (the "</w:t>
      </w:r>
      <w:r>
        <w:rPr>
          <w:rFonts w:ascii="Times New Roman" w:hAnsi="Times New Roman" w:eastAsia="Times New Roman" w:cs="Times New Roman"/>
          <w:b w:val="0"/>
          <w:sz w:val="24"/>
        </w:rPr>
        <w:t>Bridge Facility</w:t>
      </w:r>
      <w:r>
        <w:rPr>
          <w:rFonts w:ascii="Times New Roman" w:hAnsi="Times New Roman" w:eastAsia="Times New Roman" w:cs="Times New Roman"/>
          <w:b w:val="0"/>
          <w:sz w:val="24"/>
        </w:rPr>
        <w:t>") consisting of bridge loans (the "</w:t>
      </w:r>
      <w:r>
        <w:rPr>
          <w:rFonts w:ascii="Times New Roman" w:hAnsi="Times New Roman" w:eastAsia="Times New Roman" w:cs="Times New Roman"/>
          <w:b w:val="0"/>
          <w:sz w:val="24"/>
        </w:rPr>
        <w:t>Bridge Loans</w:t>
      </w:r>
      <w:r>
        <w:rPr>
          <w:rFonts w:ascii="Times New Roman" w:hAnsi="Times New Roman" w:eastAsia="Times New Roman" w:cs="Times New Roman"/>
          <w:b w:val="0"/>
          <w:sz w:val="24"/>
        </w:rPr>
        <w:t xml:space="preserv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principal amount up to $[__________][, less the aggregate amount of the Notes issued on or prior to the Closing Date].</w:t>
      </w:r>
    </w:p>
    <w:p>
      <w:pPr>
        <w:keepNext w:val="0"/>
        <w:spacing w:before="120" w:after="0" w:line="260" w:lineRule="exact"/>
        <w:ind w:left="720" w:right="0" w:firstLine="0"/>
        <w:jc w:val="left"/>
      </w:pPr>
      <w:r>
        <w:rPr>
          <w:rFonts w:ascii="Times New Roman" w:hAnsi="Times New Roman" w:eastAsia="Times New Roman" w:cs="Times New Roman"/>
          <w:b/>
          <w:sz w:val="24"/>
        </w:rPr>
        <w:t>Use of Proceeds: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Proceeds of the Bridge Facility (together with the proceeds from [the First Lien Facilities / the Second Lien Facility / the Equity Financing / the Equity Rollover / and available cash of the Borrower and Guarantors)] will be used on the Closing Date to finance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Acquisition and the Refinancing and to pay fees, commissions and expenses in connection therewith.</w:t>
      </w:r>
    </w:p>
    <w:p>
      <w:pPr>
        <w:keepNext w:val="0"/>
        <w:spacing w:before="120" w:after="0" w:line="260" w:lineRule="exact"/>
        <w:ind w:left="720" w:right="0" w:firstLine="0"/>
        <w:jc w:val="left"/>
      </w:pPr>
      <w:r>
        <w:rPr>
          <w:rFonts w:ascii="Times New Roman" w:hAnsi="Times New Roman" w:eastAsia="Times New Roman" w:cs="Times New Roman"/>
          <w:b/>
          <w:sz w:val="24"/>
        </w:rPr>
        <w:t>Availability: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satisfaction or waiver of conditions precedent to drawing to be specified in the Bridge Financing Documentation, the Bridge Facility will be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drawing on the Closing Date.</w:t>
      </w:r>
    </w:p>
    <w:p>
      <w:pPr>
        <w:keepNext w:val="0"/>
        <w:spacing w:before="120" w:after="0" w:line="260" w:lineRule="exact"/>
        <w:ind w:left="720" w:right="0" w:firstLine="0"/>
        <w:jc w:val="left"/>
      </w:pPr>
      <w:r>
        <w:rPr>
          <w:rFonts w:ascii="Times New Roman" w:hAnsi="Times New Roman" w:eastAsia="Times New Roman" w:cs="Times New Roman"/>
          <w:b/>
          <w:sz w:val="24"/>
        </w:rPr>
        <w:t>Bridge Loan Maturity Date:</w:t>
      </w:r>
    </w:p>
    <w:p>
      <w:pPr>
        <w:keepNext w:val="0"/>
        <w:spacing w:before="200" w:after="0" w:line="260" w:lineRule="exact"/>
        <w:ind w:left="1080" w:right="0" w:firstLine="0"/>
        <w:jc w:val="both"/>
      </w:pPr>
      <w:r>
        <w:rPr>
          <w:rFonts w:ascii="Times New Roman" w:hAnsi="Times New Roman" w:eastAsia="Times New Roman" w:cs="Times New Roman"/>
          <w:b w:val="0"/>
          <w:sz w:val="24"/>
        </w:rPr>
        <w:t>The Bridge Loans will mature on the date that is [_____] [days / years] from the Closing Date.</w:t>
      </w:r>
    </w:p>
    <w:p>
      <w:pPr>
        <w:keepNext w:val="0"/>
        <w:spacing w:before="120" w:after="0" w:line="260" w:lineRule="exact"/>
        <w:ind w:left="720" w:right="0" w:firstLine="0"/>
        <w:jc w:val="left"/>
      </w:pPr>
      <w:r>
        <w:rPr>
          <w:rFonts w:ascii="Times New Roman" w:hAnsi="Times New Roman" w:eastAsia="Times New Roman" w:cs="Times New Roman"/>
          <w:b/>
          <w:sz w:val="24"/>
        </w:rPr>
        <w:t>Documentation:</w:t>
      </w:r>
    </w:p>
    <w:p>
      <w:pPr>
        <w:keepNext w:val="0"/>
        <w:spacing w:before="200" w:after="0" w:line="260" w:lineRule="exact"/>
        <w:ind w:left="1080" w:right="0" w:firstLine="0"/>
        <w:jc w:val="both"/>
      </w:pPr>
      <w:r>
        <w:rPr>
          <w:rFonts w:ascii="Times New Roman" w:hAnsi="Times New Roman" w:eastAsia="Times New Roman" w:cs="Times New Roman"/>
          <w:b w:val="0"/>
          <w:sz w:val="24"/>
        </w:rPr>
        <w:t>The definitive documentation for the Bridge Facility will be substantially identical to the Facilities Documentation for the Senior Credit Facilities, with only the changes required to effect the specific terms and conditions of the Bridge Facility set forth in this Term Sheet (the "</w:t>
      </w:r>
      <w:r>
        <w:rPr>
          <w:rFonts w:ascii="Times New Roman" w:hAnsi="Times New Roman" w:eastAsia="Times New Roman" w:cs="Times New Roman"/>
          <w:b w:val="0"/>
          <w:sz w:val="24"/>
        </w:rPr>
        <w:t>Bridge Facility Documentation</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Ranking: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Bridge Loans and the Guarantees (as defined below) thereof will be senior unsecured obligations of the Borrower and the Guarantors (as defined below), </w:t>
      </w:r>
      <w:r>
        <w:rPr>
          <w:rFonts w:ascii="Times New Roman" w:hAnsi="Times New Roman" w:eastAsia="Times New Roman" w:cs="Times New Roman"/>
          <w:b w:val="0"/>
          <w:sz w:val="24"/>
        </w:rPr>
        <w:t>pari passu</w:t>
      </w:r>
      <w:r>
        <w:rPr>
          <w:rFonts w:ascii="Times New Roman" w:hAnsi="Times New Roman" w:eastAsia="Times New Roman" w:cs="Times New Roman"/>
          <w:b w:val="0"/>
          <w:sz w:val="24"/>
        </w:rPr>
        <w:t xml:space="preserve"> with [or senior to] all other senior unsecured obligations of the Borrower and the Guarantors.</w:t>
      </w:r>
    </w:p>
    <w:p>
      <w:pPr>
        <w:keepNext w:val="0"/>
        <w:spacing w:before="120" w:after="0" w:line="260" w:lineRule="exact"/>
        <w:ind w:left="720" w:right="0" w:firstLine="0"/>
        <w:jc w:val="left"/>
      </w:pPr>
      <w:r>
        <w:rPr>
          <w:rFonts w:ascii="Times New Roman" w:hAnsi="Times New Roman" w:eastAsia="Times New Roman" w:cs="Times New Roman"/>
          <w:b/>
          <w:sz w:val="24"/>
        </w:rPr>
        <w:t>Guarantors: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Bridge Facility will be fully and unconditionally guaranteed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senior [subordinated] basis by each of the guarantors of the Senior Credit Facilities (collectively, the "</w:t>
      </w:r>
      <w:r>
        <w:rPr>
          <w:rFonts w:ascii="Times New Roman" w:hAnsi="Times New Roman" w:eastAsia="Times New Roman" w:cs="Times New Roman"/>
          <w:b w:val="0"/>
          <w:sz w:val="24"/>
        </w:rPr>
        <w:t>Guarantors</w:t>
      </w:r>
      <w:r>
        <w:rPr>
          <w:rFonts w:ascii="Times New Roman" w:hAnsi="Times New Roman" w:eastAsia="Times New Roman" w:cs="Times New Roman"/>
          <w:b w:val="0"/>
          <w:sz w:val="24"/>
        </w:rPr>
        <w:t xml:space="preserve">" and its guarantee is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Guarantee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Security:</w:t>
      </w:r>
    </w:p>
    <w:p>
      <w:pPr>
        <w:keepNext w:val="0"/>
        <w:spacing w:before="200" w:after="0" w:line="260" w:lineRule="exact"/>
        <w:ind w:left="1080" w:right="0" w:firstLine="0"/>
        <w:jc w:val="both"/>
      </w:pPr>
      <w:r>
        <w:rPr>
          <w:rFonts w:ascii="Times New Roman" w:hAnsi="Times New Roman" w:eastAsia="Times New Roman" w:cs="Times New Roman"/>
          <w:b w:val="0"/>
          <w:sz w:val="24"/>
        </w:rPr>
        <w:t>None.</w:t>
      </w:r>
    </w:p>
    <w:p>
      <w:pPr>
        <w:keepNext w:val="0"/>
        <w:spacing w:before="120" w:after="0" w:line="260" w:lineRule="exact"/>
        <w:ind w:left="720" w:right="0" w:firstLine="0"/>
        <w:jc w:val="left"/>
      </w:pPr>
      <w:r>
        <w:rPr>
          <w:rFonts w:ascii="Times New Roman" w:hAnsi="Times New Roman" w:eastAsia="Times New Roman" w:cs="Times New Roman"/>
          <w:b/>
          <w:sz w:val="24"/>
        </w:rPr>
        <w:t>Interest &amp; Fees:</w:t>
      </w:r>
    </w:p>
    <w:p>
      <w:pPr>
        <w:keepNext w:val="0"/>
        <w:spacing w:before="200" w:after="0" w:line="260" w:lineRule="exact"/>
        <w:ind w:left="1080" w:right="0" w:firstLine="0"/>
        <w:jc w:val="both"/>
      </w:pPr>
      <w:r>
        <w:rPr>
          <w:rFonts w:ascii="Times New Roman" w:hAnsi="Times New Roman" w:eastAsia="Times New Roman" w:cs="Times New Roman"/>
          <w:b w:val="0"/>
          <w:sz w:val="24"/>
        </w:rPr>
        <w:t>Interest rates and fees in connection with the Bridge Loans will be as specified in the Fee Letter and on Schedule I attached hereto. Interest options and default interest will be substantially identical to those in the facilities documentation for the Senior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Amortization:</w:t>
      </w:r>
    </w:p>
    <w:p>
      <w:pPr>
        <w:keepNext w:val="0"/>
        <w:spacing w:before="200" w:after="0" w:line="260" w:lineRule="exact"/>
        <w:ind w:left="1080" w:right="0" w:firstLine="0"/>
        <w:jc w:val="both"/>
      </w:pPr>
      <w:r>
        <w:rPr>
          <w:rFonts w:ascii="Times New Roman" w:hAnsi="Times New Roman" w:eastAsia="Times New Roman" w:cs="Times New Roman"/>
          <w:b w:val="0"/>
          <w:sz w:val="24"/>
        </w:rPr>
        <w:t>None.</w:t>
      </w:r>
    </w:p>
    <w:p>
      <w:pPr>
        <w:keepNext w:val="0"/>
        <w:spacing w:before="120" w:after="0" w:line="260" w:lineRule="exact"/>
        <w:ind w:left="720" w:right="0" w:firstLine="0"/>
        <w:jc w:val="left"/>
      </w:pPr>
      <w:r>
        <w:rPr>
          <w:rFonts w:ascii="Times New Roman" w:hAnsi="Times New Roman" w:eastAsia="Times New Roman" w:cs="Times New Roman"/>
          <w:b/>
          <w:sz w:val="24"/>
        </w:rPr>
        <w:t>Conversion to Rollover Loans:</w:t>
      </w:r>
    </w:p>
    <w:p>
      <w:pPr>
        <w:keepNext w:val="0"/>
        <w:spacing w:before="200" w:after="0" w:line="260" w:lineRule="exact"/>
        <w:ind w:left="1080" w:right="0" w:firstLine="0"/>
        <w:jc w:val="both"/>
      </w:pPr>
      <w:r>
        <w:rPr>
          <w:rFonts w:ascii="Times New Roman" w:hAnsi="Times New Roman" w:eastAsia="Times New Roman" w:cs="Times New Roman"/>
          <w:b w:val="0"/>
          <w:sz w:val="24"/>
        </w:rPr>
        <w:t>If the Bridge Loans have not been previously prepaid in full for cash on or prior to the first anniversary of the Closing Date (the "</w:t>
      </w:r>
      <w:r>
        <w:rPr>
          <w:rFonts w:ascii="Times New Roman" w:hAnsi="Times New Roman" w:eastAsia="Times New Roman" w:cs="Times New Roman"/>
          <w:b w:val="0"/>
          <w:sz w:val="24"/>
        </w:rPr>
        <w:t>Rollover Date</w:t>
      </w:r>
      <w:r>
        <w:rPr>
          <w:rFonts w:ascii="Times New Roman" w:hAnsi="Times New Roman" w:eastAsia="Times New Roman" w:cs="Times New Roman"/>
          <w:b w:val="0"/>
          <w:sz w:val="24"/>
        </w:rPr>
        <w:t xml:space="preserve">"), the principal amount of the Bridge Loans outstanding on the Rollover Date may, subject to the conditions precedent set forth in Schedule II attached hereto, be converted into senior unsecured rollover loans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maturity of [__] years from the Closing Date and otherwise having the terms set forth in Schedule II (the "</w:t>
      </w:r>
      <w:r>
        <w:rPr>
          <w:rFonts w:ascii="Times New Roman" w:hAnsi="Times New Roman" w:eastAsia="Times New Roman" w:cs="Times New Roman"/>
          <w:b w:val="0"/>
          <w:sz w:val="24"/>
        </w:rPr>
        <w:t>Rollover Loans</w:t>
      </w:r>
      <w:r>
        <w:rPr>
          <w:rFonts w:ascii="Times New Roman" w:hAnsi="Times New Roman" w:eastAsia="Times New Roman" w:cs="Times New Roman"/>
          <w:b w:val="0"/>
          <w:sz w:val="24"/>
        </w:rPr>
        <w:t>"). Any Bridge Loans not converted into Rollover Loans shall be repaid in full on the Rollover Date.</w:t>
      </w:r>
    </w:p>
    <w:p>
      <w:pPr>
        <w:keepNext w:val="0"/>
        <w:spacing w:before="120" w:after="0" w:line="260" w:lineRule="exact"/>
        <w:ind w:left="720" w:right="0" w:firstLine="0"/>
        <w:jc w:val="left"/>
      </w:pPr>
      <w:r>
        <w:rPr>
          <w:rFonts w:ascii="Times New Roman" w:hAnsi="Times New Roman" w:eastAsia="Times New Roman" w:cs="Times New Roman"/>
          <w:b/>
          <w:sz w:val="24"/>
        </w:rPr>
        <w:t>Exchange into Exchange Notes: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Bridge Lender that is (or will immediately transfer its Exchange Notes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Holder (as defined in Schedule III attached hereto) will have the right, at any time on or after the Rollover Date, to exchange Rollover Loans held by it for senior unsecured exchange notes of the Borrower having the terms set forth in Schedule III (the "</w:t>
      </w:r>
      <w:r>
        <w:rPr>
          <w:rFonts w:ascii="Times New Roman" w:hAnsi="Times New Roman" w:eastAsia="Times New Roman" w:cs="Times New Roman"/>
          <w:b w:val="0"/>
          <w:sz w:val="24"/>
        </w:rPr>
        <w:t>Exchange Notes</w:t>
      </w:r>
      <w:r>
        <w:rPr>
          <w:rFonts w:ascii="Times New Roman" w:hAnsi="Times New Roman" w:eastAsia="Times New Roman" w:cs="Times New Roman"/>
          <w:b w:val="0"/>
          <w:sz w:val="24"/>
        </w:rPr>
        <w:t xml:space="preserve">"). [Notwithstanding the foregoing, the Borrower will not be required to exchange Rollover Loans for Exchange Notes unless at least $[__________] of Exchange Notes would be outstanding immediately after such exchange.] In connection with each such exchange, or at any time prior thereto if requested by the Initial Bridge Lender, the Borrower shall (i) deliver to the Bridge Lender that is receiving Exchange Notes, and to such other Bridge Lenders as the Initial Bridge Lender requests,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memorandum of the type customarily utilized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144A offering of high yield securities covering the resale of such Exchange Notes by such Bridge Lenders, in such form and substance as reasonably acceptable to the Borrower and the Initial Bridge Lender, and keep such offering memorandum updated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as would be required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customary Rule 144A securities purchase agreement, (ii)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agreement containing provisions customary in Rule 144A transactions (including indemnification provisions)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rights agreement customary in Rule 144A offerings, in each case, if requested by the Initial Bridge Lender, (iii) deliver or cause to be delivered such opinions and accountants' comfort letters addressed to the Initial Bridge Lender and such certificates as the Initial Bridge Lender may reasonably request as would be customary in Rule 144A offerings and otherwise in form and substance reasonably satisfactory to the Initial Bridge Lender and (iv) take such other actions, and cause its advisors, auditors and counsel to take such actions, as reasonably requested by the Initial Bridge Lender in connection with issuances or resales of Exchange Notes, including providing such information regarding the business and operations of the Borrower and its subsidiaries as is reasonably requested by any prospective holder of Exchange Notes and customarily provided in due diligence investigations in connection with purchases or resales of securities.</w:t>
      </w:r>
    </w:p>
    <w:p>
      <w:pPr>
        <w:keepNext w:val="0"/>
        <w:spacing w:before="120" w:after="0" w:line="260" w:lineRule="exact"/>
        <w:ind w:left="720" w:right="0" w:firstLine="0"/>
        <w:jc w:val="left"/>
      </w:pPr>
      <w:r>
        <w:rPr>
          <w:rFonts w:ascii="Times New Roman" w:hAnsi="Times New Roman" w:eastAsia="Times New Roman" w:cs="Times New Roman"/>
          <w:b/>
          <w:sz w:val="24"/>
        </w:rPr>
        <w:t>Mandatory Prepayments/Commitment Reductions:</w:t>
      </w:r>
    </w:p>
    <w:p>
      <w:pPr>
        <w:keepNext w:val="0"/>
        <w:spacing w:before="200" w:after="0" w:line="260" w:lineRule="exact"/>
        <w:ind w:left="1080" w:right="0" w:firstLine="0"/>
        <w:jc w:val="both"/>
      </w:pPr>
      <w:r>
        <w:rPr>
          <w:rFonts w:ascii="Times New Roman" w:hAnsi="Times New Roman" w:eastAsia="Times New Roman" w:cs="Times New Roman"/>
          <w:b w:val="0"/>
          <w:sz w:val="24"/>
        </w:rPr>
        <w:t>The Borrower shall prepay the Bridge Loans without premium or penalty, together with accrued interest to the prepayment, with:</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[100]% of the net cash proceeds received from the sale or other disposition of all or any part of the assets of Holdings or any of its subsidiaries (including insurance and condemnation proceeds) after the Closing Date [other than sales of inventory in the ordinary course of business and amounts reinvested in assets to be used in the Borrower's business within twelve (12) months of such disposition and subject to other exceptions to be agreed],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[100]% of the net cash proceeds received by Holdings or any of its subsidiaries from the issuance of debt or preferred stock after the Closing Date[, other than exceptions to be agreed, including the Incremental Facilities under the Senior Credit Facilities]; and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[100]% of the net cash proceeds received from the issuance of common equity (including, but not limited to, upon the exercise of warrants and options) by, or equity contributions to, Holdings after the Closing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Borrower's obligation to prepay Bridge Loans shall be deemed to be satisfied with respect to clauses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above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dollar-for-dollar basis to the extent of amounts applied to repay loans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First Lien Term Loan Facilities and Second Lien Facility or (B) the Revolving Credit Facility to the extent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reduction in commitments thereunder.</w:t>
      </w:r>
    </w:p>
    <w:p>
      <w:pPr>
        <w:keepNext w:val="0"/>
        <w:spacing w:before="120" w:after="0" w:line="260" w:lineRule="exact"/>
        <w:ind w:left="720" w:right="0" w:firstLine="0"/>
        <w:jc w:val="left"/>
      </w:pPr>
      <w:r>
        <w:rPr>
          <w:rFonts w:ascii="Times New Roman" w:hAnsi="Times New Roman" w:eastAsia="Times New Roman" w:cs="Times New Roman"/>
          <w:b/>
          <w:sz w:val="24"/>
        </w:rPr>
        <w:t>Optional Prepayment:</w:t>
      </w:r>
    </w:p>
    <w:p>
      <w:pPr>
        <w:keepNext w:val="0"/>
        <w:spacing w:before="200" w:after="0" w:line="260" w:lineRule="exact"/>
        <w:ind w:left="1080" w:right="0" w:firstLine="0"/>
        <w:jc w:val="both"/>
      </w:pPr>
      <w:r>
        <w:rPr>
          <w:rFonts w:ascii="Times New Roman" w:hAnsi="Times New Roman" w:eastAsia="Times New Roman" w:cs="Times New Roman"/>
          <w:b w:val="0"/>
          <w:sz w:val="24"/>
        </w:rPr>
        <w:t>The Bridge Loans may be prepaid at any time without premium or penalty, in whole or in part, at the option of the Borrower, upon written notice together with all accrued and unpaid interest and fees (including any breakage costs) to the date of the repayment.</w:t>
      </w:r>
    </w:p>
    <w:p>
      <w:pPr>
        <w:keepNext w:val="0"/>
        <w:spacing w:before="120" w:after="0" w:line="260" w:lineRule="exact"/>
        <w:ind w:left="720" w:right="0" w:firstLine="0"/>
        <w:jc w:val="left"/>
      </w:pPr>
      <w:r>
        <w:rPr>
          <w:rFonts w:ascii="Times New Roman" w:hAnsi="Times New Roman" w:eastAsia="Times New Roman" w:cs="Times New Roman"/>
          <w:b/>
          <w:sz w:val="24"/>
        </w:rPr>
        <w:t>Conditions Precedent to Funding:</w:t>
      </w:r>
    </w:p>
    <w:p>
      <w:pPr>
        <w:keepNext w:val="0"/>
        <w:spacing w:before="200" w:after="0" w:line="260" w:lineRule="exact"/>
        <w:ind w:left="1080" w:right="0" w:firstLine="0"/>
        <w:jc w:val="both"/>
      </w:pPr>
      <w:r>
        <w:rPr>
          <w:rFonts w:ascii="Times New Roman" w:hAnsi="Times New Roman" w:eastAsia="Times New Roman" w:cs="Times New Roman"/>
          <w:b w:val="0"/>
          <w:sz w:val="24"/>
        </w:rPr>
        <w:t>Conditions precedent to the borrowing under the Bridge Facility shall be limited to those set forth in Section 7 of the Commitment Letter and in Exhibit D.</w:t>
      </w:r>
    </w:p>
    <w:p>
      <w:pPr>
        <w:keepNext w:val="0"/>
        <w:spacing w:before="120" w:after="0" w:line="260" w:lineRule="exact"/>
        <w:ind w:left="720" w:right="0" w:firstLine="0"/>
        <w:jc w:val="left"/>
      </w:pPr>
      <w:r>
        <w:rPr>
          <w:rFonts w:ascii="Times New Roman" w:hAnsi="Times New Roman" w:eastAsia="Times New Roman" w:cs="Times New Roman"/>
          <w:b/>
          <w:sz w:val="24"/>
        </w:rPr>
        <w:t>Representations and Warranties:</w:t>
      </w:r>
    </w:p>
    <w:p>
      <w:pPr>
        <w:keepNext w:val="0"/>
        <w:spacing w:before="200" w:after="0" w:line="260" w:lineRule="exact"/>
        <w:ind w:left="1080" w:right="0" w:firstLine="0"/>
        <w:jc w:val="both"/>
      </w:pPr>
      <w:r>
        <w:rPr>
          <w:rFonts w:ascii="Times New Roman" w:hAnsi="Times New Roman" w:eastAsia="Times New Roman" w:cs="Times New Roman"/>
          <w:b w:val="0"/>
          <w:sz w:val="24"/>
        </w:rPr>
        <w:t>Substantially identical to those representations and warranties in the documentation for the Senior Credit Facilities, with such changes as are appropriate for the Bridge Facility [and consistent with the Bridge Documentation Principles], but in any event no more restrictive to the Borrower than the corresponding representations and warranties set forth in the credit documentation for the Senior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Affirmative Covenants:</w:t>
      </w:r>
    </w:p>
    <w:p>
      <w:pPr>
        <w:keepNext w:val="0"/>
        <w:spacing w:before="200" w:after="0" w:line="260" w:lineRule="exact"/>
        <w:ind w:left="1080" w:right="0" w:firstLine="0"/>
        <w:jc w:val="both"/>
      </w:pPr>
      <w:r>
        <w:rPr>
          <w:rFonts w:ascii="Times New Roman" w:hAnsi="Times New Roman" w:eastAsia="Times New Roman" w:cs="Times New Roman"/>
          <w:b w:val="0"/>
          <w:sz w:val="24"/>
        </w:rPr>
        <w:t>Substantially identical to those affirmative covenants in the documentation for the Senior Credit Facilities, with such changes as are appropriate for the Bridge Facility [and consistent with the Bridge Documentation Principles], but in any event no more restrictive to the Borrower than the corresponding affirmative covenants set forth in the credit documentation for the Senior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Negative Covenants: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Substantially identical to those negative covenants in the documentation for the Senior Credit Facilities, with such changes as are appropriate for the Bridge Facility [and consistent with the Bridge Documentation Principles], but in any event no more restrictive than the corresponding negative covenants set forth in the credit documentation for the Senior Credit Facilities [;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that prior to the Rollover Date, the limitation on restricted payments and the limitation on debt may be more restrictive than those in the Senior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Financial Covenants:</w:t>
      </w:r>
    </w:p>
    <w:p>
      <w:pPr>
        <w:keepNext w:val="0"/>
        <w:spacing w:before="200" w:after="0" w:line="260" w:lineRule="exact"/>
        <w:ind w:left="1080" w:right="0" w:firstLine="0"/>
        <w:jc w:val="both"/>
      </w:pPr>
      <w:r>
        <w:rPr>
          <w:rFonts w:ascii="Times New Roman" w:hAnsi="Times New Roman" w:eastAsia="Times New Roman" w:cs="Times New Roman"/>
          <w:b w:val="0"/>
          <w:sz w:val="24"/>
        </w:rPr>
        <w:t>None.</w:t>
      </w:r>
    </w:p>
    <w:p>
      <w:pPr>
        <w:keepNext w:val="0"/>
        <w:spacing w:before="120" w:after="0" w:line="260" w:lineRule="exact"/>
        <w:ind w:left="720" w:right="0" w:firstLine="0"/>
        <w:jc w:val="left"/>
      </w:pPr>
      <w:r>
        <w:rPr>
          <w:rFonts w:ascii="Times New Roman" w:hAnsi="Times New Roman" w:eastAsia="Times New Roman" w:cs="Times New Roman"/>
          <w:b/>
          <w:sz w:val="24"/>
        </w:rPr>
        <w:t>Events of Default:</w:t>
      </w:r>
    </w:p>
    <w:p>
      <w:pPr>
        <w:keepNext w:val="0"/>
        <w:spacing w:before="200" w:after="0" w:line="260" w:lineRule="exact"/>
        <w:ind w:left="1080" w:right="0" w:firstLine="0"/>
        <w:jc w:val="both"/>
      </w:pPr>
      <w:r>
        <w:rPr>
          <w:rFonts w:ascii="Times New Roman" w:hAnsi="Times New Roman" w:eastAsia="Times New Roman" w:cs="Times New Roman"/>
          <w:b w:val="0"/>
          <w:sz w:val="24"/>
        </w:rPr>
        <w:t>Substantially identical to those events of default in the documentation for the Senior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Yield Protection, Increased Costs, and Taxes:</w:t>
      </w:r>
    </w:p>
    <w:p>
      <w:pPr>
        <w:keepNext w:val="0"/>
        <w:spacing w:before="200" w:after="0" w:line="260" w:lineRule="exact"/>
        <w:ind w:left="1080" w:right="0" w:firstLine="0"/>
        <w:jc w:val="both"/>
      </w:pPr>
      <w:r>
        <w:rPr>
          <w:rFonts w:ascii="Times New Roman" w:hAnsi="Times New Roman" w:eastAsia="Times New Roman" w:cs="Times New Roman"/>
          <w:b w:val="0"/>
          <w:sz w:val="24"/>
        </w:rPr>
        <w:t>Substantially identical to those provisions in the documentation for the Senior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Assignments and Participations: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Bridge Lender will be permitted to make assignments in minimum amounts to be agreed to other entities approved by the Bridge Administrative Agent, which approval shall not be unreasonably withheld or delayed;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no such approval shall be required in connection with assignments to other Bridge Lenders or any of their affiliates or approved funds [;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xml:space="preserve"> that, prior to the Rollover Date, the consent of the Borrower shall be required with respect to any assignment if the Initial Bridge Lender (and its subsidiaries) would hold, in the aggregate after giving effect to such assignment, less than 50.1% of the Bridge Loans]. Each Bridge Lender will also have the right, without any consent, to assign as security all or part of its rights under the credit documentation to any Federal Reserve Bank. The Bridge Lenders will be permitted to sell participations with voting rights limited to significant matters such as changes in amount, rate and maturity date.</w:t>
      </w:r>
    </w:p>
    <w:p>
      <w:pPr>
        <w:keepNext w:val="0"/>
        <w:spacing w:before="120" w:after="0" w:line="260" w:lineRule="exact"/>
        <w:ind w:left="720" w:right="0" w:firstLine="0"/>
        <w:jc w:val="left"/>
      </w:pPr>
      <w:r>
        <w:rPr>
          <w:rFonts w:ascii="Times New Roman" w:hAnsi="Times New Roman" w:eastAsia="Times New Roman" w:cs="Times New Roman"/>
          <w:b/>
          <w:sz w:val="24"/>
        </w:rPr>
        <w:t>Required Lenders:</w:t>
      </w:r>
    </w:p>
    <w:p>
      <w:pPr>
        <w:keepNext w:val="0"/>
        <w:spacing w:before="200" w:after="0" w:line="260" w:lineRule="exact"/>
        <w:ind w:left="1080" w:right="0" w:firstLine="0"/>
        <w:jc w:val="both"/>
      </w:pPr>
      <w:r>
        <w:rPr>
          <w:rFonts w:ascii="Times New Roman" w:hAnsi="Times New Roman" w:eastAsia="Times New Roman" w:cs="Times New Roman"/>
          <w:b w:val="0"/>
          <w:sz w:val="24"/>
        </w:rPr>
        <w:t>On any date of determination, those Bridge Lenders (other than defaulting Bridge Lenders) who collectively hold more than [50]% of the aggregate outstanding Bridge Loans and commitments under the Bridge Facility (the "</w:t>
      </w:r>
      <w:r>
        <w:rPr>
          <w:rFonts w:ascii="Times New Roman" w:hAnsi="Times New Roman" w:eastAsia="Times New Roman" w:cs="Times New Roman"/>
          <w:b w:val="0"/>
          <w:sz w:val="24"/>
        </w:rPr>
        <w:t>Required Lenders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Amendments and Waivers:</w:t>
      </w:r>
    </w:p>
    <w:p>
      <w:pPr>
        <w:keepNext w:val="0"/>
        <w:spacing w:before="200" w:after="0" w:line="260" w:lineRule="exact"/>
        <w:ind w:left="1080" w:right="0" w:firstLine="0"/>
        <w:jc w:val="both"/>
      </w:pPr>
      <w:r>
        <w:rPr>
          <w:rFonts w:ascii="Times New Roman" w:hAnsi="Times New Roman" w:eastAsia="Times New Roman" w:cs="Times New Roman"/>
          <w:b w:val="0"/>
          <w:sz w:val="24"/>
        </w:rPr>
        <w:t>Amendments and waivers of the provisions of the Bridge Financing Documentation will require the approval of the Required Lenders (subject to customary exceptions with respect to Defaulting Lenders), except that (i) the consent of all Bridge Lenders directly adversely affected thereby will be required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reductions of principal, interest or fees, and (B) extensions of scheduled maturities or times for payment, and (i) the consent of all Bridge Lenders will be required with respect to the amendment of certain of the pro rata sharing provisions, the amendment of the voting percentages of the Bridge Lenders, and the releases of all or substantially all of the value of the Guarantees (other than in connection with transactions permitted pursuant to the Bridge Financing Documentation).</w:t>
      </w:r>
    </w:p>
    <w:p>
      <w:pPr>
        <w:keepNext w:val="0"/>
        <w:spacing w:before="120" w:after="0" w:line="260" w:lineRule="exact"/>
        <w:ind w:left="720" w:right="0" w:firstLine="0"/>
        <w:jc w:val="left"/>
      </w:pPr>
      <w:r>
        <w:rPr>
          <w:rFonts w:ascii="Times New Roman" w:hAnsi="Times New Roman" w:eastAsia="Times New Roman" w:cs="Times New Roman"/>
          <w:b/>
          <w:sz w:val="24"/>
        </w:rPr>
        <w:t>Defaulting Lender:</w:t>
      </w:r>
    </w:p>
    <w:p>
      <w:pPr>
        <w:keepNext w:val="0"/>
        <w:spacing w:before="200" w:after="0" w:line="260" w:lineRule="exact"/>
        <w:ind w:left="1080" w:right="0" w:firstLine="0"/>
        <w:jc w:val="both"/>
      </w:pPr>
      <w:r>
        <w:rPr>
          <w:rFonts w:ascii="Times New Roman" w:hAnsi="Times New Roman" w:eastAsia="Times New Roman" w:cs="Times New Roman"/>
          <w:b w:val="0"/>
          <w:sz w:val="24"/>
        </w:rPr>
        <w:t>The Bridge Financing Documentation shall contain defaulting lender provisions usual and customary for transactions of this type (subject to the qualifications and exceptions to be mutually and reasonably agreed upon by the parties).</w:t>
      </w:r>
    </w:p>
    <w:p>
      <w:pPr>
        <w:keepNext w:val="0"/>
        <w:spacing w:before="120" w:after="0" w:line="260" w:lineRule="exact"/>
        <w:ind w:left="720" w:right="0" w:firstLine="0"/>
        <w:jc w:val="left"/>
      </w:pPr>
      <w:r>
        <w:rPr>
          <w:rFonts w:ascii="Times New Roman" w:hAnsi="Times New Roman" w:eastAsia="Times New Roman" w:cs="Times New Roman"/>
          <w:b/>
          <w:sz w:val="24"/>
        </w:rPr>
        <w:t>Indemnification:</w:t>
      </w:r>
    </w:p>
    <w:p>
      <w:pPr>
        <w:keepNext w:val="0"/>
        <w:spacing w:before="200" w:after="0" w:line="260" w:lineRule="exact"/>
        <w:ind w:left="1080" w:right="0" w:firstLine="0"/>
        <w:jc w:val="both"/>
      </w:pPr>
      <w:r>
        <w:rPr>
          <w:rFonts w:ascii="Times New Roman" w:hAnsi="Times New Roman" w:eastAsia="Times New Roman" w:cs="Times New Roman"/>
          <w:b w:val="0"/>
          <w:sz w:val="24"/>
        </w:rPr>
        <w:t>Substantially identical to those provisions in the documentation for the Senior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Expenses:</w:t>
      </w:r>
    </w:p>
    <w:p>
      <w:pPr>
        <w:keepNext w:val="0"/>
        <w:spacing w:before="200" w:after="0" w:line="260" w:lineRule="exact"/>
        <w:ind w:left="1080" w:right="0" w:firstLine="0"/>
        <w:jc w:val="both"/>
      </w:pPr>
      <w:r>
        <w:rPr>
          <w:rFonts w:ascii="Times New Roman" w:hAnsi="Times New Roman" w:eastAsia="Times New Roman" w:cs="Times New Roman"/>
          <w:b w:val="0"/>
          <w:sz w:val="24"/>
        </w:rPr>
        <w:t>Substantially identical to those provisions in the documentation for the Senior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Governing Law and Forum:</w:t>
      </w:r>
    </w:p>
    <w:p>
      <w:pPr>
        <w:keepNext w:val="0"/>
        <w:spacing w:before="200" w:after="0" w:line="260" w:lineRule="exact"/>
        <w:ind w:left="1080" w:right="0" w:firstLine="0"/>
        <w:jc w:val="both"/>
      </w:pPr>
      <w:r>
        <w:rPr>
          <w:rFonts w:ascii="Times New Roman" w:hAnsi="Times New Roman" w:eastAsia="Times New Roman" w:cs="Times New Roman"/>
          <w:b w:val="0"/>
          <w:sz w:val="24"/>
        </w:rPr>
        <w:t>The laws of the State of [New York]. Each party to the Bridge Facility Documentation will consent to the exclusive jurisdiction of the state and federal courts located in the City of New York.</w:t>
      </w:r>
    </w:p>
    <w:p>
      <w:pPr>
        <w:keepNext w:val="0"/>
        <w:spacing w:before="120" w:after="0" w:line="260" w:lineRule="exact"/>
        <w:ind w:left="720" w:right="0" w:firstLine="0"/>
        <w:jc w:val="left"/>
      </w:pPr>
      <w:r>
        <w:rPr>
          <w:rFonts w:ascii="Times New Roman" w:hAnsi="Times New Roman" w:eastAsia="Times New Roman" w:cs="Times New Roman"/>
          <w:b/>
          <w:sz w:val="24"/>
        </w:rPr>
        <w:t>Waiver of Jury Trial and Punitive and Consequential Damages:</w:t>
      </w:r>
    </w:p>
    <w:p>
      <w:pPr>
        <w:keepNext w:val="0"/>
        <w:spacing w:before="200" w:after="0" w:line="260" w:lineRule="exact"/>
        <w:ind w:left="1080" w:right="0" w:firstLine="0"/>
        <w:jc w:val="both"/>
      </w:pPr>
      <w:r>
        <w:rPr>
          <w:rFonts w:ascii="Times New Roman" w:hAnsi="Times New Roman" w:eastAsia="Times New Roman" w:cs="Times New Roman"/>
          <w:b w:val="0"/>
          <w:sz w:val="24"/>
        </w:rPr>
        <w:t>All parties to the Bridge Facility Documentation waive the right to trial by jury and the right to claim punitive or consequential damages.</w:t>
      </w:r>
    </w:p>
    <w:p>
      <w:pPr>
        <w:keepNext w:val="0"/>
        <w:spacing w:before="120" w:after="0" w:line="260" w:lineRule="exact"/>
        <w:ind w:left="720" w:right="0" w:firstLine="0"/>
        <w:jc w:val="left"/>
      </w:pPr>
      <w:r>
        <w:rPr>
          <w:rFonts w:ascii="Times New Roman" w:hAnsi="Times New Roman" w:eastAsia="Times New Roman" w:cs="Times New Roman"/>
          <w:b/>
          <w:sz w:val="24"/>
        </w:rPr>
        <w:t>Counsel for the Bridge Administrative Agent:</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p>
    <w:p>
      <w:pPr>
        <w:keepNext w:val="0"/>
        <w:spacing w:before="120" w:after="0" w:line="260" w:lineRule="exact"/>
        <w:ind w:left="360" w:right="0" w:firstLine="0"/>
        <w:jc w:val="left"/>
      </w:pPr>
      <w:r>
        <w:rPr>
          <w:rFonts w:ascii="Times New Roman" w:hAnsi="Times New Roman" w:eastAsia="Times New Roman" w:cs="Times New Roman"/>
          <w:b/>
          <w:sz w:val="24"/>
        </w:rPr>
        <w:t>SCHEDULE I TO EXHIBIT C</w:t>
      </w:r>
    </w:p>
    <w:p>
      <w:pPr>
        <w:keepNext w:val="0"/>
        <w:spacing w:before="120" w:after="0" w:line="260" w:lineRule="exact"/>
        <w:ind w:left="720" w:right="0" w:firstLine="0"/>
        <w:jc w:val="left"/>
      </w:pPr>
      <w:r>
        <w:rPr>
          <w:rFonts w:ascii="Times New Roman" w:hAnsi="Times New Roman" w:eastAsia="Times New Roman" w:cs="Times New Roman"/>
          <w:b/>
          <w:sz w:val="24"/>
        </w:rPr>
        <w:t>INTEREST AND FEES</w:t>
      </w:r>
    </w:p>
    <w:p>
      <w:pPr>
        <w:keepNext w:val="0"/>
        <w:spacing w:before="200" w:after="0" w:line="260" w:lineRule="exact"/>
        <w:ind w:left="1080" w:right="0" w:firstLine="0"/>
        <w:jc w:val="both"/>
      </w:pPr>
      <w:r>
        <w:rPr>
          <w:rFonts w:ascii="Times New Roman" w:hAnsi="Times New Roman" w:eastAsia="Times New Roman" w:cs="Times New Roman"/>
          <w:b w:val="0"/>
          <w:sz w:val="24"/>
        </w:rPr>
        <w:t>Capitalized terms not otherwise defined herein have the same meanings as specified therefore in the Senior [Subordinated] Unsecured Bridge Facility Summary of Terms and Conditions to which this Schedule I is attached.</w:t>
      </w:r>
    </w:p>
    <w:p>
      <w:pPr>
        <w:keepNext w:val="0"/>
        <w:spacing w:before="120" w:after="0" w:line="260" w:lineRule="exact"/>
        <w:ind w:left="1080" w:right="0" w:firstLine="0"/>
        <w:jc w:val="left"/>
      </w:pPr>
      <w:r>
        <w:rPr>
          <w:rFonts w:ascii="Times New Roman" w:hAnsi="Times New Roman" w:eastAsia="Times New Roman" w:cs="Times New Roman"/>
          <w:b/>
          <w:sz w:val="24"/>
        </w:rPr>
        <w:t>Interest:</w:t>
      </w:r>
    </w:p>
    <w:p>
      <w:pPr>
        <w:keepNext w:val="0"/>
        <w:spacing w:before="200" w:after="0" w:line="260" w:lineRule="exact"/>
        <w:ind w:left="1440" w:right="0" w:firstLine="0"/>
        <w:jc w:val="both"/>
      </w:pPr>
      <w:r>
        <w:rPr>
          <w:rFonts w:ascii="Times New Roman" w:hAnsi="Times New Roman" w:eastAsia="Times New Roman" w:cs="Times New Roman"/>
          <w:b w:val="0"/>
          <w:sz w:val="24"/>
        </w:rPr>
        <w:t>At the Borrower's option, loans will bear interest based on the Base Rate or LIBOR Rate, as described below:</w:t>
      </w:r>
    </w:p>
    <w:p>
      <w:pPr>
        <w:keepNext w:val="0"/>
        <w:spacing w:before="120" w:after="0" w:line="260" w:lineRule="exact"/>
        <w:ind w:left="180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Base Rate Option.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Interest will be at the Base Rate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the Applicable Margin (as described below). The "</w:t>
      </w:r>
      <w:r>
        <w:rPr>
          <w:rFonts w:ascii="Times New Roman" w:hAnsi="Times New Roman" w:eastAsia="Times New Roman" w:cs="Times New Roman"/>
          <w:b w:val="0"/>
          <w:sz w:val="24"/>
        </w:rPr>
        <w:t>Base Rate</w:t>
      </w:r>
      <w:r>
        <w:rPr>
          <w:rFonts w:ascii="Times New Roman" w:hAnsi="Times New Roman" w:eastAsia="Times New Roman" w:cs="Times New Roman"/>
          <w:b w:val="0"/>
          <w:sz w:val="24"/>
        </w:rPr>
        <w:t>" will be as defined in the Facilities Documentation for the First Lien Facilities.</w:t>
      </w:r>
    </w:p>
    <w:p>
      <w:pPr>
        <w:keepNext w:val="0"/>
        <w:spacing w:before="120" w:after="0" w:line="260" w:lineRule="exact"/>
        <w:ind w:left="180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LIBOR Option.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Interest will be at LIBOR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the Applicable Margin (as described below). "</w:t>
      </w:r>
      <w:r>
        <w:rPr>
          <w:rFonts w:ascii="Times New Roman" w:hAnsi="Times New Roman" w:eastAsia="Times New Roman" w:cs="Times New Roman"/>
          <w:b w:val="0"/>
          <w:sz w:val="24"/>
        </w:rPr>
        <w:t>LIBOR</w:t>
      </w:r>
      <w:r>
        <w:rPr>
          <w:rFonts w:ascii="Times New Roman" w:hAnsi="Times New Roman" w:eastAsia="Times New Roman" w:cs="Times New Roman"/>
          <w:b w:val="0"/>
          <w:sz w:val="24"/>
        </w:rPr>
        <w:t>" will be as defined in the Facilities Documentation for the First Lien Facilities.</w:t>
      </w:r>
    </w:p>
    <w:p>
      <w:pPr>
        <w:keepNext w:val="0"/>
        <w:spacing w:before="120" w:after="0" w:line="260" w:lineRule="exact"/>
        <w:ind w:left="1440" w:right="0" w:firstLine="0"/>
        <w:jc w:val="left"/>
      </w:pPr>
      <w:r>
        <w:rPr>
          <w:rFonts w:ascii="Times New Roman" w:hAnsi="Times New Roman" w:eastAsia="Times New Roman" w:cs="Times New Roman"/>
          <w:b/>
          <w:sz w:val="24"/>
        </w:rPr>
        <w:t>Applicable Margin:</w:t>
      </w:r>
    </w:p>
    <w:p>
      <w:pPr>
        <w:keepNext w:val="0"/>
        <w:spacing w:before="200" w:after="0" w:line="260" w:lineRule="exact"/>
        <w:ind w:left="1800" w:right="0" w:firstLine="0"/>
        <w:jc w:val="both"/>
      </w:pPr>
      <w:r>
        <w:rPr>
          <w:rFonts w:ascii="Times New Roman" w:hAnsi="Times New Roman" w:eastAsia="Times New Roman" w:cs="Times New Roman"/>
          <w:b w:val="0"/>
          <w:sz w:val="24"/>
        </w:rPr>
        <w:t>The Applicable Margin for the Bridge Facility will initially be [__] basis points and shall permanently increase by [__] basis points on the 90th day after the Closing Date, and on each subsequent 90th day thereafter, in each case, if any Bridge Loan remains outstanding on such date.</w:t>
      </w:r>
    </w:p>
    <w:p>
      <w:pPr>
        <w:keepNext w:val="0"/>
        <w:spacing w:before="120" w:after="0" w:line="260" w:lineRule="exact"/>
        <w:ind w:left="1080" w:right="0" w:firstLine="0"/>
        <w:jc w:val="left"/>
      </w:pPr>
      <w:r>
        <w:rPr>
          <w:rFonts w:ascii="Times New Roman" w:hAnsi="Times New Roman" w:eastAsia="Times New Roman" w:cs="Times New Roman"/>
          <w:b/>
          <w:sz w:val="24"/>
        </w:rPr>
        <w:t>Other Fees:</w:t>
      </w:r>
    </w:p>
    <w:p>
      <w:pPr>
        <w:keepNext w:val="0"/>
        <w:spacing w:before="200" w:after="0" w:line="260" w:lineRule="exact"/>
        <w:ind w:left="1440" w:right="0" w:firstLine="0"/>
        <w:jc w:val="both"/>
      </w:pPr>
      <w:r>
        <w:rPr>
          <w:rFonts w:ascii="Times New Roman" w:hAnsi="Times New Roman" w:eastAsia="Times New Roman" w:cs="Times New Roman"/>
          <w:b w:val="0"/>
          <w:sz w:val="24"/>
        </w:rPr>
        <w:t>The Bridge Lead Arranger and the Bridge Administrative Agent will receive such other fees as will have been agreed in Fee Letter between them and the Borrower.</w:t>
      </w:r>
    </w:p>
    <w:p>
      <w:pPr/>
    </w:p>
    <w:p>
      <w:pPr>
        <w:keepNext w:val="0"/>
        <w:spacing w:before="120" w:after="0" w:line="260" w:lineRule="exact"/>
        <w:ind w:left="360" w:right="0" w:firstLine="0"/>
        <w:jc w:val="left"/>
      </w:pPr>
      <w:r>
        <w:rPr>
          <w:rFonts w:ascii="Times New Roman" w:hAnsi="Times New Roman" w:eastAsia="Times New Roman" w:cs="Times New Roman"/>
          <w:b/>
          <w:sz w:val="24"/>
        </w:rPr>
        <w:t>SCHEDULE II TO EXHIBIT C</w:t>
      </w:r>
    </w:p>
    <w:p>
      <w:pPr>
        <w:keepNext w:val="0"/>
        <w:spacing w:before="120" w:after="0" w:line="260" w:lineRule="exact"/>
        <w:ind w:left="720" w:right="0" w:firstLine="0"/>
        <w:jc w:val="left"/>
      </w:pPr>
      <w:r>
        <w:rPr>
          <w:rFonts w:ascii="Times New Roman" w:hAnsi="Times New Roman" w:eastAsia="Times New Roman" w:cs="Times New Roman"/>
          <w:b/>
          <w:sz w:val="24"/>
        </w:rPr>
        <w:t>SUMMARY OF TERMS AND CONDITIONS SENIOR [SUBORDINATED] ROLLOVER LOANS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Capitalized terms not otherwise defined herein have the same meanings as specified therefore in the Senior [Subordinated] Unsecured Bridge Facility Summary of Terms and Conditions to which this Schedule II is attached.</w:t>
      </w:r>
    </w:p>
    <w:p>
      <w:pPr>
        <w:keepNext w:val="0"/>
        <w:spacing w:before="120" w:after="0" w:line="260" w:lineRule="exact"/>
        <w:ind w:left="1080" w:right="0" w:firstLine="0"/>
        <w:jc w:val="left"/>
      </w:pPr>
      <w:r>
        <w:rPr>
          <w:rFonts w:ascii="Times New Roman" w:hAnsi="Times New Roman" w:eastAsia="Times New Roman" w:cs="Times New Roman"/>
          <w:b/>
          <w:sz w:val="24"/>
        </w:rPr>
        <w:t>Borrower:</w:t>
      </w:r>
    </w:p>
    <w:p>
      <w:pPr>
        <w:keepNext w:val="0"/>
        <w:spacing w:before="200" w:after="0" w:line="260" w:lineRule="exact"/>
        <w:ind w:left="1440" w:right="0" w:firstLine="0"/>
        <w:jc w:val="both"/>
      </w:pPr>
      <w:r>
        <w:rPr>
          <w:rFonts w:ascii="Times New Roman" w:hAnsi="Times New Roman" w:eastAsia="Times New Roman" w:cs="Times New Roman"/>
          <w:b w:val="0"/>
          <w:sz w:val="24"/>
        </w:rPr>
        <w:t>Same as the Borrower of the Bridge Loans.</w:t>
      </w:r>
    </w:p>
    <w:p>
      <w:pPr>
        <w:keepNext w:val="0"/>
        <w:spacing w:before="120" w:after="0" w:line="260" w:lineRule="exact"/>
        <w:ind w:left="1080" w:right="0" w:firstLine="0"/>
        <w:jc w:val="left"/>
      </w:pPr>
      <w:r>
        <w:rPr>
          <w:rFonts w:ascii="Times New Roman" w:hAnsi="Times New Roman" w:eastAsia="Times New Roman" w:cs="Times New Roman"/>
          <w:b/>
          <w:sz w:val="24"/>
        </w:rPr>
        <w:t>Guarantors:</w:t>
      </w:r>
    </w:p>
    <w:p>
      <w:pPr>
        <w:keepNext w:val="0"/>
        <w:spacing w:before="200" w:after="0" w:line="260" w:lineRule="exact"/>
        <w:ind w:left="1440" w:right="0" w:firstLine="0"/>
        <w:jc w:val="both"/>
      </w:pPr>
      <w:r>
        <w:rPr>
          <w:rFonts w:ascii="Times New Roman" w:hAnsi="Times New Roman" w:eastAsia="Times New Roman" w:cs="Times New Roman"/>
          <w:b w:val="0"/>
          <w:sz w:val="24"/>
        </w:rPr>
        <w:t>Same as the Guarantors of the Bridge Loans.</w:t>
      </w:r>
    </w:p>
    <w:p>
      <w:pPr>
        <w:keepNext w:val="0"/>
        <w:spacing w:before="120" w:after="0" w:line="260" w:lineRule="exact"/>
        <w:ind w:left="1080" w:right="0" w:firstLine="0"/>
        <w:jc w:val="left"/>
      </w:pPr>
      <w:r>
        <w:rPr>
          <w:rFonts w:ascii="Times New Roman" w:hAnsi="Times New Roman" w:eastAsia="Times New Roman" w:cs="Times New Roman"/>
          <w:b/>
          <w:sz w:val="24"/>
        </w:rPr>
        <w:t>Rollover Loans: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Rollover Loans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principal amount equal to 100% of the outstanding principal amount of the Bridge Loans on the Rollover Date. Subject to the conditions precedent set forth below, the Rollover Loans will be available to the Borrower to refinance the Bridge Loans on the Rollover Date. The Rollover Loans will be governed by the Bridge Financing Documentation and, except as set forth below, shall have the same terms as the Bridge Loans.</w:t>
      </w:r>
    </w:p>
    <w:p>
      <w:pPr>
        <w:keepNext w:val="0"/>
        <w:spacing w:before="120" w:after="0" w:line="260" w:lineRule="exact"/>
        <w:ind w:left="1080" w:right="0" w:firstLine="0"/>
        <w:jc w:val="left"/>
      </w:pPr>
      <w:r>
        <w:rPr>
          <w:rFonts w:ascii="Times New Roman" w:hAnsi="Times New Roman" w:eastAsia="Times New Roman" w:cs="Times New Roman"/>
          <w:b/>
          <w:sz w:val="24"/>
        </w:rPr>
        <w:t>Ranking:</w:t>
      </w:r>
    </w:p>
    <w:p>
      <w:pPr>
        <w:keepNext w:val="0"/>
        <w:spacing w:before="200" w:after="0" w:line="260" w:lineRule="exact"/>
        <w:ind w:left="1440" w:right="0" w:firstLine="0"/>
        <w:jc w:val="both"/>
      </w:pPr>
      <w:r>
        <w:rPr>
          <w:rFonts w:ascii="Times New Roman" w:hAnsi="Times New Roman" w:eastAsia="Times New Roman" w:cs="Times New Roman"/>
          <w:b w:val="0"/>
          <w:sz w:val="24"/>
        </w:rPr>
        <w:t>Same as the Bridge Loans.</w:t>
      </w:r>
    </w:p>
    <w:p>
      <w:pPr>
        <w:keepNext w:val="0"/>
        <w:spacing w:before="120" w:after="0" w:line="260" w:lineRule="exact"/>
        <w:ind w:left="1080" w:right="0" w:firstLine="0"/>
        <w:jc w:val="left"/>
      </w:pPr>
      <w:r>
        <w:rPr>
          <w:rFonts w:ascii="Times New Roman" w:hAnsi="Times New Roman" w:eastAsia="Times New Roman" w:cs="Times New Roman"/>
          <w:b/>
          <w:sz w:val="24"/>
        </w:rPr>
        <w:t>Interest Rate: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Interest shall be payable quarterly in arrears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per annum equal to [the Total Bridge Loan Cap (as defined in the Fee Letter) / [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During the continuance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or bankruptcy event of default, interest will accrue on the overdue principal of the Rollover Loans and on any other overdue amount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200 basis points in excess of the rate otherwise applicable to the Rollover Loans, and will be payable on demand.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calculations of interest shall be made on the basis of actual number of days elapsed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360-day year.</w:t>
      </w:r>
    </w:p>
    <w:p>
      <w:pPr>
        <w:keepNext w:val="0"/>
        <w:spacing w:before="120" w:after="0" w:line="260" w:lineRule="exact"/>
        <w:ind w:left="1080" w:right="0" w:firstLine="0"/>
        <w:jc w:val="left"/>
      </w:pPr>
      <w:r>
        <w:rPr>
          <w:rFonts w:ascii="Times New Roman" w:hAnsi="Times New Roman" w:eastAsia="Times New Roman" w:cs="Times New Roman"/>
          <w:b/>
          <w:sz w:val="24"/>
        </w:rPr>
        <w:t>Maturity: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[10] years after the Closing Date (the "</w:t>
      </w:r>
      <w:r>
        <w:rPr>
          <w:rFonts w:ascii="Times New Roman" w:hAnsi="Times New Roman" w:eastAsia="Times New Roman" w:cs="Times New Roman"/>
          <w:b w:val="0"/>
          <w:sz w:val="24"/>
        </w:rPr>
        <w:t>Rollover Maturity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Amortization: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None.</w:t>
      </w:r>
    </w:p>
    <w:p>
      <w:pPr>
        <w:keepNext w:val="0"/>
        <w:spacing w:before="120" w:after="0" w:line="260" w:lineRule="exact"/>
        <w:ind w:left="1080" w:right="0" w:firstLine="0"/>
        <w:jc w:val="left"/>
      </w:pPr>
      <w:r>
        <w:rPr>
          <w:rFonts w:ascii="Times New Roman" w:hAnsi="Times New Roman" w:eastAsia="Times New Roman" w:cs="Times New Roman"/>
          <w:b/>
          <w:sz w:val="24"/>
        </w:rPr>
        <w:t>Optional Prepayments:</w:t>
      </w:r>
    </w:p>
    <w:p>
      <w:pPr>
        <w:keepNext w:val="0"/>
        <w:spacing w:before="200" w:after="0" w:line="260" w:lineRule="exact"/>
        <w:ind w:left="1440" w:right="0" w:firstLine="0"/>
        <w:jc w:val="both"/>
      </w:pPr>
      <w:r>
        <w:rPr>
          <w:rFonts w:ascii="Times New Roman" w:hAnsi="Times New Roman" w:eastAsia="Times New Roman" w:cs="Times New Roman"/>
          <w:b w:val="0"/>
          <w:sz w:val="24"/>
        </w:rPr>
        <w:t>For so long as the Rollover Loans have not been exchanged for Exchange Notes of the Borrower as provided in Schedule III, they may be prepaid at the option of the Borrower, in whole or in part, at any time, together with accrued and unpaid interest to the prepayment date (but without premium or penalty).</w:t>
      </w:r>
    </w:p>
    <w:p>
      <w:pPr>
        <w:keepNext w:val="0"/>
        <w:spacing w:before="120" w:after="0" w:line="260" w:lineRule="exact"/>
        <w:ind w:left="1080" w:right="0" w:firstLine="0"/>
        <w:jc w:val="left"/>
      </w:pPr>
      <w:r>
        <w:rPr>
          <w:rFonts w:ascii="Times New Roman" w:hAnsi="Times New Roman" w:eastAsia="Times New Roman" w:cs="Times New Roman"/>
          <w:b/>
          <w:sz w:val="24"/>
        </w:rPr>
        <w:t>Conditions Precedent to Rollover: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ability of the Borrower to convert any Bridge Loans into Rollover Loans is subject to the following conditions being satisfied: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time of any such refinancing, there shall exist no event of default or event that, with notice and/or lapse of time, could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Bridge Lenders shall have received promissory notes evidencing the Rollover Loans (if requested) and such other documentation as shall be set forth in the Bridge Financing Documentation; and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order, decree, injunction or judgment enjoining any such refinancing shall be in effect.</w:t>
      </w:r>
    </w:p>
    <w:p>
      <w:pPr>
        <w:keepNext w:val="0"/>
        <w:spacing w:before="120" w:after="0" w:line="260" w:lineRule="exact"/>
        <w:ind w:left="1080" w:right="0" w:firstLine="0"/>
        <w:jc w:val="left"/>
      </w:pPr>
      <w:r>
        <w:rPr>
          <w:rFonts w:ascii="Times New Roman" w:hAnsi="Times New Roman" w:eastAsia="Times New Roman" w:cs="Times New Roman"/>
          <w:b/>
          <w:sz w:val="24"/>
        </w:rPr>
        <w:t>Covenants: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and after the Rollover Date, the covenants applicable to the Rollover Loans will conform to those applicable to the Exchange Notes, except for covenants relating to the obligation of the Borrower to refinance the Rollover Loans and others to be agreed (which shall, in no event, be more restrictive than the covenants applicable to the Bridge Loans).</w:t>
      </w:r>
    </w:p>
    <w:p>
      <w:pPr>
        <w:keepNext w:val="0"/>
        <w:spacing w:before="120" w:after="0" w:line="260" w:lineRule="exact"/>
        <w:ind w:left="1080" w:right="0" w:firstLine="0"/>
        <w:jc w:val="left"/>
      </w:pP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[New York].</w:t>
      </w:r>
    </w:p>
    <w:p>
      <w:pPr/>
    </w:p>
    <w:p>
      <w:pPr>
        <w:keepNext w:val="0"/>
        <w:spacing w:before="120" w:after="0" w:line="260" w:lineRule="exact"/>
        <w:ind w:left="360" w:right="0" w:firstLine="0"/>
        <w:jc w:val="left"/>
      </w:pPr>
      <w:r>
        <w:rPr>
          <w:rFonts w:ascii="Times New Roman" w:hAnsi="Times New Roman" w:eastAsia="Times New Roman" w:cs="Times New Roman"/>
          <w:b/>
          <w:sz w:val="24"/>
        </w:rPr>
        <w:t>SCHEDULE III TO EXHIBIT C.</w:t>
      </w:r>
    </w:p>
    <w:p>
      <w:pPr>
        <w:keepNext w:val="0"/>
        <w:spacing w:before="120" w:after="0" w:line="260" w:lineRule="exact"/>
        <w:ind w:left="720" w:right="0" w:firstLine="0"/>
        <w:jc w:val="left"/>
      </w:pPr>
      <w:r>
        <w:rPr>
          <w:rFonts w:ascii="Times New Roman" w:hAnsi="Times New Roman" w:eastAsia="Times New Roman" w:cs="Times New Roman"/>
          <w:b/>
          <w:sz w:val="24"/>
        </w:rPr>
        <w:t>SUMMARY OF TERMS AND CONDITIONS SENIOR [SUBORDINATED] EXCHANGE NOTES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Capitalized terms not otherwise defined herein have the same meanings as specified therefore in the Senior [Subordinated] Unsecured Bridge Facility Summary of Terms and Conditions to which this Schedule III is attached.</w:t>
      </w:r>
    </w:p>
    <w:p>
      <w:pPr>
        <w:keepNext w:val="0"/>
        <w:spacing w:before="120" w:after="0" w:line="260" w:lineRule="exact"/>
        <w:ind w:left="1080" w:right="0" w:firstLine="0"/>
        <w:jc w:val="left"/>
      </w:pPr>
      <w:r>
        <w:rPr>
          <w:rFonts w:ascii="Times New Roman" w:hAnsi="Times New Roman" w:eastAsia="Times New Roman" w:cs="Times New Roman"/>
          <w:b/>
          <w:sz w:val="24"/>
        </w:rPr>
        <w:t>Issuer:</w:t>
      </w:r>
    </w:p>
    <w:p>
      <w:pPr>
        <w:keepNext w:val="0"/>
        <w:spacing w:before="200" w:after="0" w:line="260" w:lineRule="exact"/>
        <w:ind w:left="1440" w:right="0" w:firstLine="0"/>
        <w:jc w:val="both"/>
      </w:pPr>
      <w:r>
        <w:rPr>
          <w:rFonts w:ascii="Times New Roman" w:hAnsi="Times New Roman" w:eastAsia="Times New Roman" w:cs="Times New Roman"/>
          <w:b w:val="0"/>
          <w:sz w:val="24"/>
        </w:rPr>
        <w:t>Same as the Borrower of the Bridge Loans.</w:t>
      </w:r>
    </w:p>
    <w:p>
      <w:pPr>
        <w:keepNext w:val="0"/>
        <w:spacing w:before="120" w:after="0" w:line="260" w:lineRule="exact"/>
        <w:ind w:left="1080" w:right="0" w:firstLine="0"/>
        <w:jc w:val="left"/>
      </w:pPr>
      <w:r>
        <w:rPr>
          <w:rFonts w:ascii="Times New Roman" w:hAnsi="Times New Roman" w:eastAsia="Times New Roman" w:cs="Times New Roman"/>
          <w:b/>
          <w:sz w:val="24"/>
        </w:rPr>
        <w:t>Guarantors:</w:t>
      </w:r>
    </w:p>
    <w:p>
      <w:pPr>
        <w:keepNext w:val="0"/>
        <w:spacing w:before="200" w:after="0" w:line="260" w:lineRule="exact"/>
        <w:ind w:left="1440" w:right="0" w:firstLine="0"/>
        <w:jc w:val="both"/>
      </w:pPr>
      <w:r>
        <w:rPr>
          <w:rFonts w:ascii="Times New Roman" w:hAnsi="Times New Roman" w:eastAsia="Times New Roman" w:cs="Times New Roman"/>
          <w:b w:val="0"/>
          <w:sz w:val="24"/>
        </w:rPr>
        <w:t>Same as the Guarantors of the Bridge Loans.</w:t>
      </w:r>
    </w:p>
    <w:p>
      <w:pPr>
        <w:keepNext w:val="0"/>
        <w:spacing w:before="120" w:after="0" w:line="260" w:lineRule="exact"/>
        <w:ind w:left="1080" w:right="0" w:firstLine="0"/>
        <w:jc w:val="left"/>
      </w:pPr>
      <w:r>
        <w:rPr>
          <w:rFonts w:ascii="Times New Roman" w:hAnsi="Times New Roman" w:eastAsia="Times New Roman" w:cs="Times New Roman"/>
          <w:b/>
          <w:sz w:val="24"/>
        </w:rPr>
        <w:t>Exchange Notes: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Borrower will issue the Exchange Notes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indenture that complies with the Trust Indenture Act of 1939, as amended (the "</w:t>
      </w:r>
      <w:r>
        <w:rPr>
          <w:rFonts w:ascii="Times New Roman" w:hAnsi="Times New Roman" w:eastAsia="Times New Roman" w:cs="Times New Roman"/>
          <w:b w:val="0"/>
          <w:sz w:val="24"/>
        </w:rPr>
        <w:t>Indenture</w:t>
      </w:r>
      <w:r>
        <w:rPr>
          <w:rFonts w:ascii="Times New Roman" w:hAnsi="Times New Roman" w:eastAsia="Times New Roman" w:cs="Times New Roman"/>
          <w:b w:val="0"/>
          <w:sz w:val="24"/>
        </w:rPr>
        <w:t xml:space="preserve">"). The Borrower will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reasonably acceptable to the holders of the Exchange Notes. The Indenture will be in substantially the form attached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the Bridge Facility Documentation. The Indenture will include provisions customary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indenture governing publicly traded high yield debt securities, but with covenants that are more restrictive in certain respects. Except as expressly set forth above, the Exchange Notes shall have the same terms as the Rollover Loans.</w:t>
      </w:r>
    </w:p>
    <w:p>
      <w:pPr>
        <w:keepNext w:val="0"/>
        <w:spacing w:before="120" w:after="0" w:line="260" w:lineRule="exact"/>
        <w:ind w:left="1080" w:right="0" w:firstLine="0"/>
        <w:jc w:val="left"/>
      </w:pPr>
      <w:r>
        <w:rPr>
          <w:rFonts w:ascii="Times New Roman" w:hAnsi="Times New Roman" w:eastAsia="Times New Roman" w:cs="Times New Roman"/>
          <w:b/>
          <w:sz w:val="24"/>
        </w:rPr>
        <w:t>Ranking:</w:t>
      </w:r>
    </w:p>
    <w:p>
      <w:pPr>
        <w:keepNext w:val="0"/>
        <w:spacing w:before="200" w:after="0" w:line="260" w:lineRule="exact"/>
        <w:ind w:left="1440" w:right="0" w:firstLine="0"/>
        <w:jc w:val="both"/>
      </w:pPr>
      <w:r>
        <w:rPr>
          <w:rFonts w:ascii="Times New Roman" w:hAnsi="Times New Roman" w:eastAsia="Times New Roman" w:cs="Times New Roman"/>
          <w:b w:val="0"/>
          <w:sz w:val="24"/>
        </w:rPr>
        <w:t>Same as the Bridge Loans.</w:t>
      </w:r>
    </w:p>
    <w:p>
      <w:pPr>
        <w:keepNext w:val="0"/>
        <w:spacing w:before="120" w:after="0" w:line="260" w:lineRule="exact"/>
        <w:ind w:left="1080" w:right="0" w:firstLine="0"/>
        <w:jc w:val="left"/>
      </w:pPr>
      <w:r>
        <w:rPr>
          <w:rFonts w:ascii="Times New Roman" w:hAnsi="Times New Roman" w:eastAsia="Times New Roman" w:cs="Times New Roman"/>
          <w:b/>
          <w:sz w:val="24"/>
        </w:rPr>
        <w:t>Security:</w:t>
      </w:r>
    </w:p>
    <w:p>
      <w:pPr>
        <w:keepNext w:val="0"/>
        <w:spacing w:before="200" w:after="0" w:line="260" w:lineRule="exact"/>
        <w:ind w:left="1440" w:right="0" w:firstLine="0"/>
        <w:jc w:val="both"/>
      </w:pPr>
      <w:r>
        <w:rPr>
          <w:rFonts w:ascii="Times New Roman" w:hAnsi="Times New Roman" w:eastAsia="Times New Roman" w:cs="Times New Roman"/>
          <w:b w:val="0"/>
          <w:sz w:val="24"/>
        </w:rPr>
        <w:t>None.</w:t>
      </w:r>
    </w:p>
    <w:p>
      <w:pPr>
        <w:keepNext w:val="0"/>
        <w:spacing w:before="120" w:after="0" w:line="260" w:lineRule="exact"/>
        <w:ind w:left="1080" w:right="0" w:firstLine="0"/>
        <w:jc w:val="left"/>
      </w:pPr>
      <w:r>
        <w:rPr>
          <w:rFonts w:ascii="Times New Roman" w:hAnsi="Times New Roman" w:eastAsia="Times New Roman" w:cs="Times New Roman"/>
          <w:b/>
          <w:sz w:val="24"/>
        </w:rPr>
        <w:t>Interest Rate: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Interest shall be payable [quarterly / semi-annually] in arrears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annum rate equal to [[__]% / the Total Bridge Loan Cap (as defined in the Fee Letter)].</w:t>
      </w:r>
    </w:p>
    <w:p>
      <w:pPr>
        <w:keepNext w:val="0"/>
        <w:spacing w:before="120" w:after="0" w:line="260" w:lineRule="exact"/>
        <w:ind w:left="1080" w:right="0" w:firstLine="0"/>
        <w:jc w:val="left"/>
      </w:pPr>
      <w:r>
        <w:rPr>
          <w:rFonts w:ascii="Times New Roman" w:hAnsi="Times New Roman" w:eastAsia="Times New Roman" w:cs="Times New Roman"/>
          <w:b/>
          <w:sz w:val="24"/>
        </w:rPr>
        <w:t>Default Interest: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During the continuance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[or bankruptcy event of default], interest will accrue on the overdue principal of the Exchange Notes and on any other overdue amount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[2.0]% per annum in excess of the rate otherwise applicable to the Exchange Notes, and will be payable on demand.</w:t>
      </w:r>
    </w:p>
    <w:p>
      <w:pPr>
        <w:keepNext w:val="0"/>
        <w:spacing w:before="120" w:after="0" w:line="260" w:lineRule="exact"/>
        <w:ind w:left="1080" w:right="0" w:firstLine="0"/>
        <w:jc w:val="left"/>
      </w:pPr>
      <w:r>
        <w:rPr>
          <w:rFonts w:ascii="Times New Roman" w:hAnsi="Times New Roman" w:eastAsia="Times New Roman" w:cs="Times New Roman"/>
          <w:b/>
          <w:sz w:val="24"/>
        </w:rPr>
        <w:t>Maturity:</w:t>
      </w:r>
    </w:p>
    <w:p>
      <w:pPr>
        <w:keepNext w:val="0"/>
        <w:spacing w:before="200" w:after="0" w:line="260" w:lineRule="exact"/>
        <w:ind w:left="1440" w:right="0" w:firstLine="0"/>
        <w:jc w:val="both"/>
      </w:pPr>
      <w:r>
        <w:rPr>
          <w:rFonts w:ascii="Times New Roman" w:hAnsi="Times New Roman" w:eastAsia="Times New Roman" w:cs="Times New Roman"/>
          <w:b w:val="0"/>
          <w:sz w:val="24"/>
        </w:rPr>
        <w:t>Same as the Rollover Loans.</w:t>
      </w:r>
    </w:p>
    <w:p>
      <w:pPr>
        <w:keepNext w:val="0"/>
        <w:spacing w:before="120" w:after="0" w:line="260" w:lineRule="exact"/>
        <w:ind w:left="1080" w:right="0" w:firstLine="0"/>
        <w:jc w:val="left"/>
      </w:pPr>
      <w:r>
        <w:rPr>
          <w:rFonts w:ascii="Times New Roman" w:hAnsi="Times New Roman" w:eastAsia="Times New Roman" w:cs="Times New Roman"/>
          <w:b/>
          <w:sz w:val="24"/>
        </w:rPr>
        <w:t>Mandatory Offer to Purchase: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Issuer will be required to offer to purchase the Exchange Notes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(to be defined in the Indenture) at [101]% of the principal amount thereof plus accrued interest to the date of purchase.</w:t>
      </w:r>
    </w:p>
    <w:p>
      <w:pPr>
        <w:keepNext w:val="0"/>
        <w:spacing w:before="120" w:after="0" w:line="260" w:lineRule="exact"/>
        <w:ind w:left="1080" w:right="0" w:firstLine="0"/>
        <w:jc w:val="left"/>
      </w:pPr>
      <w:r>
        <w:rPr>
          <w:rFonts w:ascii="Times New Roman" w:hAnsi="Times New Roman" w:eastAsia="Times New Roman" w:cs="Times New Roman"/>
          <w:b/>
          <w:sz w:val="24"/>
        </w:rPr>
        <w:t>Optional Redemption: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Until the [fourth] anniversary of the Closing Date, the Exchange Notes will be redeemable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customary "make-whole" premium calculated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discount rate equal to the yield on comparable Treasury securities plus 50 basis points. Thereafter, the Exchange Notes will be redeemable at the option of the Issuer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equal to [50]% of the coupon on the Exchange Notes, declining ratably to par on the date that is [two] years prior to the Rollover Maturity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addition, the Exchange Notes will be redeemable at the option of the Issuer prior to the [third] anniversary of the Closing Date with the net cash proceeds of qualified equity offerings of the Issuer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equal to the coupon on the Exchange Notes;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after giving effect to such redemption at least [65]% of the aggregate principal amount of Exchange Notes originally issued shall remain outstanding.</w:t>
      </w:r>
    </w:p>
    <w:p>
      <w:pPr>
        <w:keepNext w:val="0"/>
        <w:spacing w:before="120" w:after="0" w:line="260" w:lineRule="exact"/>
        <w:ind w:left="1080" w:right="0" w:firstLine="0"/>
        <w:jc w:val="left"/>
      </w:pPr>
      <w:r>
        <w:rPr>
          <w:rFonts w:ascii="Times New Roman" w:hAnsi="Times New Roman" w:eastAsia="Times New Roman" w:cs="Times New Roman"/>
          <w:b/>
          <w:sz w:val="24"/>
        </w:rPr>
        <w:t>Right to Transfer Exchange Notes: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holder of Exchange Notes shall have the right to transfer its Exchange Notes in whole or in part, at any time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Holder (as defined below) and, after the Exchange Notes are registered pursuant to the provisions described under "Registration Rights", to any person or entity;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if the Issuer or any of its affiliates holds Exchange Notes, such Exchange Notes shall be disregarded in any voting. "</w:t>
      </w:r>
      <w:r>
        <w:rPr>
          <w:rFonts w:ascii="Times New Roman" w:hAnsi="Times New Roman" w:eastAsia="Times New Roman" w:cs="Times New Roman"/>
          <w:b w:val="0"/>
          <w:sz w:val="24"/>
        </w:rPr>
        <w:t>Eligible Holder</w:t>
      </w:r>
      <w:r>
        <w:rPr>
          <w:rFonts w:ascii="Times New Roman" w:hAnsi="Times New Roman" w:eastAsia="Times New Roman" w:cs="Times New Roman"/>
          <w:b w:val="0"/>
          <w:sz w:val="24"/>
        </w:rPr>
        <w:t xml:space="preserve">" will mean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institutional "accredited investor" within the meaning of Rule 501 under the Securities Act,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institutional buyer" within the meaning of Rule 144A under the Securities Act,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acquiring the Exchange Notes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and sale occurring outside of the United States within the meaning of Regulation S under the Securities Act or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acquiring the Exchange Notes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is, in the opinion of counsel reasonably acceptable to the Issuer, exempt from the registration requirements of the Securities Act;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each case such Eligible Holder represents that it is acquiring the Exchange Notes for its own account and that it is not acquiring such Exchange Notes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offer or sale in connection with, any distribution thereof (within the meaning of the Securities Act) that would be in violation of the securities laws of the United States or any state thereof.</w:t>
      </w:r>
    </w:p>
    <w:p>
      <w:pPr>
        <w:keepNext w:val="0"/>
        <w:spacing w:before="120" w:after="0" w:line="260" w:lineRule="exact"/>
        <w:ind w:left="1080" w:right="0" w:firstLine="0"/>
        <w:jc w:val="left"/>
      </w:pPr>
      <w:r>
        <w:rPr>
          <w:rFonts w:ascii="Times New Roman" w:hAnsi="Times New Roman" w:eastAsia="Times New Roman" w:cs="Times New Roman"/>
          <w:b/>
          <w:sz w:val="24"/>
        </w:rPr>
        <w:t>Registration Rights:</w:t>
      </w:r>
    </w:p>
    <w:p>
      <w:pPr>
        <w:keepNext w:val="0"/>
        <w:spacing w:before="200" w:after="0" w:line="260" w:lineRule="exact"/>
        <w:ind w:left="1440" w:right="0" w:firstLine="0"/>
        <w:jc w:val="both"/>
      </w:pPr>
      <w:r>
        <w:rPr>
          <w:rFonts w:ascii="Times New Roman" w:hAnsi="Times New Roman" w:eastAsia="Times New Roman" w:cs="Times New Roman"/>
          <w:b w:val="0"/>
          <w:sz w:val="24"/>
        </w:rPr>
        <w:t>The Issuer will:</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within [60] days after the Rollover Date, [be required to / use commercially reasonable efforts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exchange the Exchange Notes for publicly registered notes with identical terms;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use its [reasonable best efforts / commercially reasonable efforts] to cause the registration statement to become effective under the Securities Act within [150] days after the Rollover Date / as soon thereafter as practicable];</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complete the exchange offer within [180] days after the Rollover Date;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file and use its [reasonable best efforts / commercially reasonable efforts] to cause to become effective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shelf registration statement for the resale of the Exchange Notes if it cannot complete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offer by such [180th] day, and keep such shelf registration statement effective and available [(subject to customary exceptions)], with respect to resales of the Exchange Notes, [for as long as it is required by the holders of the Exchange Notes to resell the Exchange Notes / until it is no longer needed to permit unrestricted resales of Exchange Notes but in no event longer than [1] year from the issuance of any Exchange Note].</w:t>
      </w:r>
    </w:p>
    <w:p>
      <w:pPr>
        <w:keepNext w:val="0"/>
        <w:spacing w:before="200" w:after="0" w:line="260" w:lineRule="exact"/>
        <w:ind w:left="1800" w:right="0" w:firstLine="0"/>
        <w:jc w:val="both"/>
      </w:pPr>
      <w:r>
        <w:rPr>
          <w:rFonts w:ascii="Times New Roman" w:hAnsi="Times New Roman" w:eastAsia="Times New Roman" w:cs="Times New Roman"/>
          <w:b w:val="0"/>
          <w:sz w:val="24"/>
        </w:rPr>
        <w:t>Upon failure to comply with the requirements of the registration rights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Registration Default</w:t>
      </w:r>
      <w:r>
        <w:rPr>
          <w:rFonts w:ascii="Times New Roman" w:hAnsi="Times New Roman" w:eastAsia="Times New Roman" w:cs="Times New Roman"/>
          <w:b w:val="0"/>
          <w:sz w:val="24"/>
        </w:rPr>
        <w:t xml:space="preserve">"), the Issuer shall pay liquidated damages to each holder of Exchange Notes with respect to the first 90-day period immediately following the occurrence of the first Registration Default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[0.25 / 0.50]% per annum on the principal amount of Exchange Notes held by such holder. The amount of the liquidated damages will increase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[0.25 / 0.50]% per annum on the principal amount of Exchange Notes with respect to each subsequent 90-day period until all Registration Defaults have been cured,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amount of liquidated damages for all Registration Defaults of [1.00 / 1.50]% per annum.</w:t>
      </w:r>
    </w:p>
    <w:p>
      <w:pPr>
        <w:keepNext w:val="0"/>
        <w:spacing w:before="120" w:after="0" w:line="260" w:lineRule="exact"/>
        <w:ind w:left="1080" w:right="0" w:firstLine="0"/>
        <w:jc w:val="left"/>
      </w:pPr>
      <w:r>
        <w:rPr>
          <w:rFonts w:ascii="Times New Roman" w:hAnsi="Times New Roman" w:eastAsia="Times New Roman" w:cs="Times New Roman"/>
          <w:b/>
          <w:sz w:val="24"/>
        </w:rPr>
        <w:t>Covenants: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Those typical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indenture governing high-yield note issuances.</w:t>
      </w:r>
    </w:p>
    <w:p>
      <w:pPr>
        <w:keepNext w:val="0"/>
        <w:spacing w:before="120" w:after="0" w:line="260" w:lineRule="exact"/>
        <w:ind w:left="1080" w:right="0" w:firstLine="0"/>
        <w:jc w:val="left"/>
      </w:pPr>
      <w:r>
        <w:rPr>
          <w:rFonts w:ascii="Times New Roman" w:hAnsi="Times New Roman" w:eastAsia="Times New Roman" w:cs="Times New Roman"/>
          <w:b/>
          <w:sz w:val="24"/>
        </w:rPr>
        <w:t>Events of Default: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Those typical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indenture governing high-yield note issuances.</w:t>
      </w:r>
    </w:p>
    <w:p>
      <w:pPr>
        <w:keepNext w:val="0"/>
        <w:spacing w:before="120" w:after="0" w:line="260" w:lineRule="exact"/>
        <w:ind w:left="1080" w:right="0" w:firstLine="0"/>
        <w:jc w:val="left"/>
      </w:pP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[New York].</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