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Term Sheet for Series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Round of Financing of Any Unnamed Corporation, Inc.</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following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the basic terms and conditions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round of financing of ANY UNNAMED CORPORATION, INC.,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corporation (the “Company”). This term sheet is for discussion purposes only and is not binding on Company or the Investors (as defined below), nor is Company or any of the Investors obligated to consummate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round of financing until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definitive stock purchase agreement has been agreed to and executed by Company and the Investors.</w:t>
      </w:r>
    </w:p>
    <w:p>
      <w:pPr>
        <w:keepNext w:val="0"/>
        <w:spacing w:before="120" w:after="0" w:line="260" w:lineRule="exact"/>
        <w:ind w:left="720" w:right="0" w:firstLine="0"/>
        <w:jc w:val="left"/>
      </w:pPr>
      <w:r>
        <w:rPr>
          <w:rFonts w:ascii="Times New Roman" w:hAnsi="Times New Roman" w:eastAsia="Times New Roman" w:cs="Times New Roman"/>
          <w:b/>
          <w:sz w:val="24"/>
        </w:rPr>
        <w:t>Amount of Investment:</w:t>
      </w:r>
    </w:p>
    <w:p>
      <w:pPr>
        <w:keepNext w:val="0"/>
        <w:spacing w:before="200" w:after="0" w:line="260" w:lineRule="exact"/>
        <w:ind w:left="1080" w:right="0" w:firstLine="0"/>
        <w:jc w:val="both"/>
      </w:pPr>
      <w:r>
        <w:rPr>
          <w:rFonts w:ascii="Times New Roman" w:hAnsi="Times New Roman" w:eastAsia="Times New Roman" w:cs="Times New Roman"/>
          <w:b w:val="0"/>
          <w:sz w:val="24"/>
        </w:rPr>
        <w:t>$1,250,000</w:t>
      </w:r>
    </w:p>
    <w:p>
      <w:pPr>
        <w:keepNext w:val="0"/>
        <w:spacing w:before="120" w:after="0" w:line="260" w:lineRule="exact"/>
        <w:ind w:left="720" w:right="0" w:firstLine="0"/>
        <w:jc w:val="left"/>
      </w:pPr>
      <w:r>
        <w:rPr>
          <w:rFonts w:ascii="Times New Roman" w:hAnsi="Times New Roman" w:eastAsia="Times New Roman" w:cs="Times New Roman"/>
          <w:b/>
          <w:sz w:val="24"/>
        </w:rPr>
        <w:t>Investors:</w:t>
      </w:r>
    </w:p>
    <w:p>
      <w:pPr>
        <w:keepNext w:val="0"/>
        <w:spacing w:before="200" w:after="0" w:line="260" w:lineRule="exact"/>
        <w:ind w:left="1080" w:right="0" w:firstLine="0"/>
        <w:jc w:val="both"/>
      </w:pPr>
      <w:r>
        <w:rPr>
          <w:rFonts w:ascii="Times New Roman" w:hAnsi="Times New Roman" w:eastAsia="Times New Roman" w:cs="Times New Roman"/>
          <w:b w:val="0"/>
          <w:sz w:val="24"/>
        </w:rPr>
        <w:t>Primarily Accredited Investors</w:t>
      </w:r>
    </w:p>
    <w:p>
      <w:pPr>
        <w:keepNext w:val="0"/>
        <w:spacing w:before="120" w:after="0" w:line="260" w:lineRule="exact"/>
        <w:ind w:left="720" w:right="0" w:firstLine="0"/>
        <w:jc w:val="left"/>
      </w:pPr>
      <w:r>
        <w:rPr>
          <w:rFonts w:ascii="Times New Roman" w:hAnsi="Times New Roman" w:eastAsia="Times New Roman" w:cs="Times New Roman"/>
          <w:b/>
          <w:sz w:val="24"/>
        </w:rPr>
        <w:t>Type of Security: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Non-Voting Convertible Preferred Stock</w:t>
      </w:r>
    </w:p>
    <w:p>
      <w:pPr>
        <w:keepNext w:val="0"/>
        <w:spacing w:before="120" w:after="0" w:line="260" w:lineRule="exact"/>
        <w:ind w:left="720" w:right="0" w:firstLine="0"/>
        <w:jc w:val="left"/>
      </w:pPr>
      <w:r>
        <w:rPr>
          <w:rFonts w:ascii="Times New Roman" w:hAnsi="Times New Roman" w:eastAsia="Times New Roman" w:cs="Times New Roman"/>
          <w:b/>
          <w:sz w:val="24"/>
        </w:rPr>
        <w:t>Premoney Valuation:</w:t>
      </w:r>
    </w:p>
    <w:p>
      <w:pPr>
        <w:keepNext w:val="0"/>
        <w:spacing w:before="200" w:after="0" w:line="260" w:lineRule="exact"/>
        <w:ind w:left="1080" w:right="0" w:firstLine="0"/>
        <w:jc w:val="both"/>
      </w:pPr>
      <w:r>
        <w:rPr>
          <w:rFonts w:ascii="Times New Roman" w:hAnsi="Times New Roman" w:eastAsia="Times New Roman" w:cs="Times New Roman"/>
          <w:b w:val="0"/>
          <w:sz w:val="24"/>
        </w:rPr>
        <w:t>The pre-money fully-diluted valuation of the Company shall be $2.25 million.</w:t>
      </w:r>
    </w:p>
    <w:p>
      <w:pPr>
        <w:keepNext w:val="0"/>
        <w:spacing w:before="120" w:after="0" w:line="260" w:lineRule="exact"/>
        <w:ind w:left="720" w:right="0" w:firstLine="0"/>
        <w:jc w:val="left"/>
      </w:pPr>
      <w:r>
        <w:rPr>
          <w:rFonts w:ascii="Times New Roman" w:hAnsi="Times New Roman" w:eastAsia="Times New Roman" w:cs="Times New Roman"/>
          <w:b/>
          <w:sz w:val="24"/>
        </w:rPr>
        <w:t xml:space="preserve">Price Per Nonvoting Preferred Series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Share:</w:t>
      </w:r>
    </w:p>
    <w:p>
      <w:pPr>
        <w:keepNext w:val="0"/>
        <w:spacing w:before="200" w:after="0" w:line="260" w:lineRule="exact"/>
        <w:ind w:left="1080" w:right="0" w:firstLine="0"/>
        <w:jc w:val="both"/>
      </w:pPr>
      <w:r>
        <w:rPr>
          <w:rFonts w:ascii="Times New Roman" w:hAnsi="Times New Roman" w:eastAsia="Times New Roman" w:cs="Times New Roman"/>
          <w:b w:val="0"/>
          <w:sz w:val="24"/>
        </w:rPr>
        <w:t>$0.225</w:t>
      </w:r>
    </w:p>
    <w:p>
      <w:pPr>
        <w:keepNext w:val="0"/>
        <w:spacing w:before="120" w:after="0" w:line="260" w:lineRule="exact"/>
        <w:ind w:left="720" w:right="0" w:firstLine="0"/>
        <w:jc w:val="left"/>
      </w:pPr>
      <w:r>
        <w:rPr>
          <w:rFonts w:ascii="Times New Roman" w:hAnsi="Times New Roman" w:eastAsia="Times New Roman" w:cs="Times New Roman"/>
          <w:b/>
          <w:sz w:val="24"/>
        </w:rPr>
        <w:t xml:space="preserve">Capital Structure Following Series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Round:</w:t>
      </w:r>
    </w:p>
    <w:p>
      <w:pPr>
        <w:keepNext w:val="0"/>
        <w:spacing w:before="120" w:after="0" w:line="260" w:lineRule="exact"/>
        <w:ind w:left="720" w:right="0" w:firstLine="0"/>
        <w:jc w:val="left"/>
      </w:pPr>
      <w:r>
        <w:rPr>
          <w:rFonts w:ascii="Times New Roman" w:hAnsi="Times New Roman" w:eastAsia="Times New Roman" w:cs="Times New Roman"/>
          <w:b/>
          <w:sz w:val="24"/>
        </w:rPr>
        <w:t>Use of Proceeds:</w:t>
      </w:r>
    </w:p>
    <w:p>
      <w:pPr>
        <w:keepNext w:val="0"/>
        <w:spacing w:before="200" w:after="0" w:line="260" w:lineRule="exact"/>
        <w:ind w:left="1080" w:right="0" w:firstLine="0"/>
        <w:jc w:val="both"/>
      </w:pPr>
      <w:r>
        <w:rPr>
          <w:rFonts w:ascii="Times New Roman" w:hAnsi="Times New Roman" w:eastAsia="Times New Roman" w:cs="Times New Roman"/>
          <w:b w:val="0"/>
          <w:sz w:val="24"/>
        </w:rPr>
        <w:t>The net proceeds of this funding, estimated to be $1,250,000 after payment of investment banking and legal expenses, are intended to be primarily used for the expansion of current operations, key hires, and deployment of additional products and services. Additionally, proceeds will be used for marketing and other working capital purposes. Primarily, the net proceeds of this funding shall be used to increase the Company’s capacity of developer personnel and for increased infrastructure needs, such as hosting. In addition, the Company will seek to expand its sales and marketing personnel to increase market penetration of its current product suite.</w:t>
      </w:r>
    </w:p>
    <w:p>
      <w:pPr>
        <w:keepNext w:val="0"/>
        <w:spacing w:before="120" w:after="0" w:line="260" w:lineRule="exact"/>
        <w:ind w:left="720" w:right="0" w:firstLine="0"/>
        <w:jc w:val="left"/>
      </w:pPr>
      <w:r>
        <w:rPr>
          <w:rFonts w:ascii="Times New Roman" w:hAnsi="Times New Roman" w:eastAsia="Times New Roman" w:cs="Times New Roman"/>
          <w:b/>
          <w:sz w:val="24"/>
        </w:rPr>
        <w:t>Dividends: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will not pay dividends on its shares of Common Stock or any other stock which is junior to the Nonvoting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like dividend is paid on all shares of Nonvoting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 rata “as converted” basis.</w:t>
      </w:r>
    </w:p>
    <w:p>
      <w:pPr>
        <w:keepNext w:val="0"/>
        <w:spacing w:before="120" w:after="0" w:line="260" w:lineRule="exact"/>
        <w:ind w:left="720" w:right="0" w:firstLine="0"/>
        <w:jc w:val="left"/>
      </w:pPr>
      <w:r>
        <w:rPr>
          <w:rFonts w:ascii="Times New Roman" w:hAnsi="Times New Roman" w:eastAsia="Times New Roman" w:cs="Times New Roman"/>
          <w:b/>
          <w:sz w:val="24"/>
        </w:rPr>
        <w:t>Conversion: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share of Nonvoting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shall be convertible, at any time, at the option of the holder, into shares of Common Stock,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conversion ratio of one share of Common Stock for each share of Nonvoting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Mandatory conversion of the Nonvoting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upon the effectiveness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covering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firmly and fully underwritten public offering of Common Stock of the Company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reputable underwriter acceptable to the Investors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which equals or exceeds two times the purchase price per share of the Nonvoting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and where the aggregate gross proceeds received by the Company exceeds $30 million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Qualified Public Offering</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sz w:val="24"/>
        </w:rPr>
        <w:t>Antidilution: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terms of the Nonvoting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will contain standard “weighted average” antidilution protection with respect to the issuance by the Company of equity securities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per share less than the applicable conversion price then in effect, subject to standard and customary exceptions. The conversion rate of the Nonvoting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into common stock will be adjusted appropriately to account for any stock splits, recapitalizations, mergers, combinations and asset sales, stock dividends, and similar events. Antidilution protection shall not be triggered by the issuance of up to 2,000,000 shares of Common Stock (or options therefor) issued in accordance with the Company’s Stock Option Plan.</w:t>
      </w:r>
    </w:p>
    <w:p>
      <w:pPr>
        <w:keepNext w:val="0"/>
        <w:spacing w:before="120" w:after="0" w:line="260" w:lineRule="exact"/>
        <w:ind w:left="720" w:right="0" w:firstLine="0"/>
        <w:jc w:val="left"/>
      </w:pPr>
      <w:r>
        <w:rPr>
          <w:rFonts w:ascii="Times New Roman" w:hAnsi="Times New Roman" w:eastAsia="Times New Roman" w:cs="Times New Roman"/>
          <w:b/>
          <w:sz w:val="24"/>
        </w:rPr>
        <w:t>Voting Rights: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holders of the Nonvoting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shall be entitled to notice of all stockholder meetings at which holders of Common Stock shall be entitled to vote; provided that notwithstanding any such notice, except as required by applicable law or as expressly set forth herein, such holders shall not be entitled to vote on any matter presented to the stockholders of the Corporation for their action or consideration. Notwithstanding the foregoing however, the Company shall not, without the prior consent of the holders of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then issued and outstanding Nonvoting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voting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class:</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pay dividends on shares of the capital stock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effect any exchange or reclassification of any stock affecting the Nonvoting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or any recapitalization involving the Company and its subsidiaries taken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effect any amendment of the Company's Certificate of Incorporation or Bylaws which would materially adversely affect the rights of the Nonvoting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voluntarily dissolve or liquidate.</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Amend, alter, or repeal the preferences, special rights, or other powers of the Nonvoting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so as to adversely affect the Nonvoting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w:t>
      </w:r>
    </w:p>
    <w:p>
      <w:pPr>
        <w:keepNext w:val="0"/>
        <w:spacing w:before="120" w:after="0" w:line="260" w:lineRule="exact"/>
        <w:ind w:left="720" w:right="0" w:firstLine="0"/>
        <w:jc w:val="left"/>
      </w:pPr>
      <w:r>
        <w:rPr>
          <w:rFonts w:ascii="Times New Roman" w:hAnsi="Times New Roman" w:eastAsia="Times New Roman" w:cs="Times New Roman"/>
          <w:b/>
          <w:sz w:val="24"/>
        </w:rPr>
        <w:t>Liquidation Preference: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holders of Nonvoting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shall have preference upon liquidation over all holders of Common Stock and over the holders of any other class or series of stock that is junior to the Nonvoting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greater of (i) amount paid for such Nonvoting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plus any declared or accrued but unpaid dividends, and (ii) the amount which such holder would have received if such holder’s shares of Nonvoting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were converted to Common Stock immediately prior to such liquidation. Thereafter, the holders of Common Stock will be entitled to receive the remaining assets. For purposes of this section,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consolidation, sale of all or substantially all of the Company's assets, or other corporate reorganization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liquidation, unless the holders of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Nonvoting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vote otherwise.</w:t>
      </w:r>
    </w:p>
    <w:p>
      <w:pPr>
        <w:keepNext w:val="0"/>
        <w:spacing w:before="120" w:after="0" w:line="260" w:lineRule="exact"/>
        <w:ind w:left="720" w:right="0" w:firstLine="0"/>
        <w:jc w:val="left"/>
      </w:pPr>
      <w:r>
        <w:rPr>
          <w:rFonts w:ascii="Times New Roman" w:hAnsi="Times New Roman" w:eastAsia="Times New Roman" w:cs="Times New Roman"/>
          <w:b/>
          <w:sz w:val="24"/>
        </w:rPr>
        <w:t>Board of Directors: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Board of Directors of the Company shall be composed of two members. One additional appointed representative of the Nonvoting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shall be entitled to attend Board meetings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non-voting observer.</w:t>
      </w:r>
    </w:p>
    <w:p>
      <w:pPr>
        <w:keepNext w:val="0"/>
        <w:spacing w:before="120" w:after="0" w:line="260" w:lineRule="exact"/>
        <w:ind w:left="720" w:right="0" w:firstLine="0"/>
        <w:jc w:val="left"/>
      </w:pPr>
      <w:r>
        <w:rPr>
          <w:rFonts w:ascii="Times New Roman" w:hAnsi="Times New Roman" w:eastAsia="Times New Roman" w:cs="Times New Roman"/>
          <w:b/>
          <w:sz w:val="24"/>
        </w:rPr>
        <w:t>Affirmative Covenants: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While any Nonvoting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is outstanding, the company will:</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maintain adequate property and business insurance.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comply with all laws, rules, and regulations.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preserve, protect, and maintain its corporate existence; its rights, franchises, and privileges; and all properties necessary or useful to the proper conduct of its business.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cause all key employees to execute and deliver noncompetition, nonsolicitation, nonhire, nondisclosure, and assignment of inventions agreements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 of their employment with the Company plus one year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reasonably acceptable to the Board of Directors.</w:t>
      </w:r>
    </w:p>
    <w:p>
      <w:pPr>
        <w:keepNext w:val="0"/>
        <w:spacing w:before="120" w:after="0" w:line="260" w:lineRule="exact"/>
        <w:ind w:left="720" w:right="0" w:firstLine="0"/>
        <w:jc w:val="left"/>
      </w:pPr>
      <w:r>
        <w:rPr>
          <w:rFonts w:ascii="Times New Roman" w:hAnsi="Times New Roman" w:eastAsia="Times New Roman" w:cs="Times New Roman"/>
          <w:b/>
          <w:sz w:val="24"/>
        </w:rPr>
        <w:t>Financial Statements and Reporting: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will provide all information and materials, including, without limitation, all internal management documents, reports of operations, reports of adverse developments, copies of any management letters, communications with shareholders or directors, and press releases and registration statements, as well as access to all senior managers as requested by holders of Nonvoting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In addition, the Company will provide the holders of Nonvoting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with unaudited monthly and quarterly and unaudited yearly financial statements, as well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budget.</w:t>
      </w:r>
    </w:p>
    <w:p>
      <w:pPr>
        <w:keepNext w:val="0"/>
        <w:spacing w:before="120" w:after="0" w:line="260" w:lineRule="exact"/>
        <w:ind w:left="720" w:right="0" w:firstLine="0"/>
        <w:jc w:val="left"/>
      </w:pPr>
      <w:r>
        <w:rPr>
          <w:rFonts w:ascii="Times New Roman" w:hAnsi="Times New Roman" w:eastAsia="Times New Roman" w:cs="Times New Roman"/>
          <w:b/>
          <w:sz w:val="24"/>
        </w:rPr>
        <w:t>Drag Along: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Subject to customary exceptions, if holders of the Common Stock approve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sale of the Company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(whether structured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reorganization, asset sale or otherwise), each holder of Nonvoting Preferred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 will agree to approve the proposed sale. This right will terminate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Public Offering.</w:t>
      </w:r>
    </w:p>
    <w:p>
      <w:pPr>
        <w:keepNext w:val="0"/>
        <w:spacing w:before="120" w:after="0" w:line="260" w:lineRule="exact"/>
        <w:ind w:left="720" w:right="0" w:firstLine="0"/>
        <w:jc w:val="left"/>
      </w:pPr>
      <w:r>
        <w:rPr>
          <w:rFonts w:ascii="Times New Roman" w:hAnsi="Times New Roman" w:eastAsia="Times New Roman" w:cs="Times New Roman"/>
          <w:b/>
          <w:sz w:val="24"/>
        </w:rPr>
        <w:t>Other Provisions:</w:t>
      </w:r>
    </w:p>
    <w:p>
      <w:pPr>
        <w:keepNext w:val="0"/>
        <w:spacing w:before="200" w:after="0" w:line="260" w:lineRule="exact"/>
        <w:ind w:left="1080" w:right="0" w:firstLine="0"/>
        <w:jc w:val="both"/>
      </w:pPr>
      <w:r>
        <w:rPr>
          <w:rFonts w:ascii="Times New Roman" w:hAnsi="Times New Roman" w:eastAsia="Times New Roman" w:cs="Times New Roman"/>
          <w:b w:val="0"/>
          <w:sz w:val="24"/>
        </w:rPr>
        <w:t>The purchase agreement shall include standard and customary representations and warranties of the Company, and the other agreements prepared to implement this financing shall contain other standard and customary provisions. Definitive agreements will be drafted by counsel to the Company.</w:t>
      </w:r>
    </w:p>
    <w:p>
      <w:pPr>
        <w:keepNext w:val="0"/>
        <w:spacing w:before="120" w:after="0" w:line="260" w:lineRule="exact"/>
        <w:ind w:left="720" w:right="0" w:firstLine="0"/>
        <w:jc w:val="left"/>
      </w:pPr>
      <w:r>
        <w:rPr>
          <w:rFonts w:ascii="Times New Roman" w:hAnsi="Times New Roman" w:eastAsia="Times New Roman" w:cs="Times New Roman"/>
          <w:b/>
          <w:sz w:val="24"/>
        </w:rPr>
        <w:t>Expenses:</w:t>
      </w:r>
    </w:p>
    <w:p>
      <w:pPr>
        <w:keepNext w:val="0"/>
        <w:spacing w:before="200" w:after="0" w:line="260" w:lineRule="exact"/>
        <w:ind w:left="1080" w:right="0" w:firstLine="0"/>
        <w:jc w:val="both"/>
      </w:pPr>
      <w:r>
        <w:rPr>
          <w:rFonts w:ascii="Times New Roman" w:hAnsi="Times New Roman" w:eastAsia="Times New Roman" w:cs="Times New Roman"/>
          <w:b w:val="0"/>
          <w:sz w:val="24"/>
        </w:rPr>
        <w:t>The Company and Investors shall each separately bear their own legal expenses.</w:t>
      </w:r>
    </w:p>
    <w:p>
      <w:pPr>
        <w:keepNext w:val="0"/>
        <w:spacing w:before="120" w:after="0" w:line="260" w:lineRule="exact"/>
        <w:ind w:left="720" w:right="0" w:firstLine="0"/>
        <w:jc w:val="left"/>
      </w:pPr>
      <w:r>
        <w:rPr>
          <w:rFonts w:ascii="Times New Roman" w:hAnsi="Times New Roman" w:eastAsia="Times New Roman" w:cs="Times New Roman"/>
          <w:b/>
          <w:sz w:val="24"/>
        </w:rPr>
        <w:t>Conditions to Closing:</w:t>
      </w:r>
    </w:p>
    <w:p>
      <w:pPr>
        <w:keepNext w:val="0"/>
        <w:spacing w:before="200" w:after="0" w:line="260" w:lineRule="exact"/>
        <w:ind w:left="1080" w:right="0" w:firstLine="0"/>
        <w:jc w:val="both"/>
      </w:pPr>
      <w:r>
        <w:rPr>
          <w:rFonts w:ascii="Times New Roman" w:hAnsi="Times New Roman" w:eastAsia="Times New Roman" w:cs="Times New Roman"/>
          <w:b w:val="0"/>
          <w:sz w:val="24"/>
        </w:rPr>
        <w:t>Closing shall be subject to the standard and customary conditions.</w:t>
      </w:r>
    </w:p>
    <w:p>
      <w:pPr>
        <w:keepNext w:val="0"/>
        <w:spacing w:before="120" w:after="0" w:line="260" w:lineRule="exact"/>
        <w:ind w:left="720" w:right="0" w:firstLine="0"/>
        <w:jc w:val="left"/>
      </w:pPr>
      <w:r>
        <w:rPr>
          <w:rFonts w:ascii="Times New Roman" w:hAnsi="Times New Roman" w:eastAsia="Times New Roman" w:cs="Times New Roman"/>
          <w:b/>
          <w:sz w:val="24"/>
        </w:rPr>
        <w:t>Placement Agent:</w:t>
      </w:r>
    </w:p>
    <w:p>
      <w:pPr>
        <w:keepNext w:val="0"/>
        <w:spacing w:before="200" w:after="0" w:line="260" w:lineRule="exact"/>
        <w:ind w:left="1080" w:right="0" w:firstLine="0"/>
        <w:jc w:val="both"/>
      </w:pPr>
      <w:r>
        <w:rPr>
          <w:rFonts w:ascii="Times New Roman" w:hAnsi="Times New Roman" w:eastAsia="Times New Roman" w:cs="Times New Roman"/>
          <w:b w:val="0"/>
          <w:sz w:val="24"/>
        </w:rPr>
        <w:t>The Company may elect to sell shares through placement agents who are registered broker dealers with customary commission payments paid out of the proceeds of the offering.</w:t>
      </w:r>
    </w:p>
    <w:p>
      <w:pPr>
        <w:keepNext w:val="0"/>
        <w:spacing w:before="120" w:after="0" w:line="260" w:lineRule="exact"/>
        <w:ind w:left="720" w:right="0" w:firstLine="0"/>
        <w:jc w:val="left"/>
      </w:pPr>
      <w:r>
        <w:rPr>
          <w:rFonts w:ascii="Times New Roman" w:hAnsi="Times New Roman" w:eastAsia="Times New Roman" w:cs="Times New Roman"/>
          <w:b/>
          <w:sz w:val="24"/>
        </w:rPr>
        <w:t>Transferability of Shares: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Transfer of Nonvoting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is subject to restrictions based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and state securities laws, (b)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first refusal in favor of the Company and the other Shareholders (as described in the Company’s Stockholders Agreement (the “Stockholders Agreement”)) and (c) the other terms and conditions of the Stockholders Agreement.</w:t>
      </w:r>
    </w:p>
    <w:p>
      <w:pPr>
        <w:keepNext w:val="0"/>
        <w:spacing w:before="120" w:after="0" w:line="260" w:lineRule="exact"/>
        <w:ind w:left="720" w:right="0" w:firstLine="0"/>
        <w:jc w:val="left"/>
      </w:pPr>
      <w:r>
        <w:rPr>
          <w:rFonts w:ascii="Times New Roman" w:hAnsi="Times New Roman" w:eastAsia="Times New Roman" w:cs="Times New Roman"/>
          <w:b/>
          <w:sz w:val="24"/>
        </w:rPr>
        <w:t>Stock Purchase Agreement: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sale of Nonvoting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as described above will be made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 purchase agreement mutually acceptable to the Company and each prospective investor, which agreement will contain, among other things, appropriate representations and warranties of the Company and each prospective investor and appropriate conditions to closing which will include, among other things, qualification of the securities to be sold under applicable Blue Sky laws.</w:t>
      </w:r>
    </w:p>
    <w:p>
      <w:pPr>
        <w:keepNext w:val="0"/>
        <w:spacing w:before="120" w:after="0" w:line="260" w:lineRule="exact"/>
        <w:ind w:left="720" w:right="0" w:firstLine="0"/>
        <w:jc w:val="left"/>
      </w:pPr>
      <w:r>
        <w:rPr>
          <w:rFonts w:ascii="Times New Roman" w:hAnsi="Times New Roman" w:eastAsia="Times New Roman" w:cs="Times New Roman"/>
          <w:b/>
          <w:sz w:val="24"/>
        </w:rPr>
        <w:t>Bylaws and Certificate of Inc.: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Nonvoting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will be subject to the terms and conditions of the Certificate of Incorporation and Bylaws of the Company which should be reviewed thoroughly by each prospective investor prior to purchasing any Nonvoting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of the Company.</w:t>
      </w:r>
    </w:p>
    <w:p>
      <w:pPr>
        <w:keepNext w:val="0"/>
        <w:spacing w:before="120" w:after="0" w:line="260" w:lineRule="exact"/>
        <w:ind w:left="720" w:right="0" w:firstLine="0"/>
        <w:jc w:val="left"/>
      </w:pPr>
      <w:r>
        <w:rPr>
          <w:rFonts w:ascii="Times New Roman" w:hAnsi="Times New Roman" w:eastAsia="Times New Roman" w:cs="Times New Roman"/>
          <w:b/>
          <w:sz w:val="24"/>
        </w:rPr>
        <w:t>Subordination: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Nonvoting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Share purchaser’s interests will be subordinated to all of the Company’s indebtedness for borrowed money, whether or not such indebtedness for borrowed money is secured.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