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Trademark Office Action Response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Response to [Date] Office Action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Applicant: [applicant’s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Serial No.: [application serial number]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Filed: [date]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Mark: [applied-for mark]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Examining Attorney: [examining attorney’s name], Law Office [law office number]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the [date] Office Action, the Examining Attorney refused registration of [applied-for mark] for various services in Class [class number] on the ground that the specimen submitted with the application does not show use of the applied-for mark in commerce in connection with Class [class number] services. Applicant respectfully responds as follows.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Class [number] Specimen Refusal.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Office Action refuses registration in Class [number] on the ground that the specimen submitted with the application does not support use of [applied-for mark] in connection with the Class [number] services in the application. As set forth below, it is respectfully submitted that the specimen supports use in connection with the Class [number] services, particularly in light of the [Federal Circuit / Board]’s recent decision in [case name and citation], which is directly on point.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[As amended,] Applicant’s Class [number] services are: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[services listed in identification or amended identification]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Thus, generally, the Class [number] services include “[     ],” “[     ],” and “[     ]” services relating to [description of services].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specimen to support registration, Applicant submitted [type of specimen] that prominently features the [applied-for mark] mark near the top of the [page or webpage] and throughout the [page or webpage]. The specimen states, </w:t>
      </w:r>
      <w:r>
        <w:rPr>
          <w:rFonts w:ascii="Times New Roman" w:hAnsi="Times New Roman" w:eastAsia="Times New Roman" w:cs="Times New Roman"/>
          <w:b w:val="0"/>
          <w:sz w:val="24"/>
        </w:rPr>
        <w:t>inter alia</w:t>
      </w:r>
      <w:r>
        <w:rPr>
          <w:rFonts w:ascii="Times New Roman" w:hAnsi="Times New Roman" w:eastAsia="Times New Roman" w:cs="Times New Roman"/>
          <w:b w:val="0"/>
          <w:sz w:val="24"/>
        </w:rPr>
        <w:t>: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</w:t>
        <w:tab/>
        <w:t xml:space="preserve"> “[excerpt from specimen (e.g., quotes from online advertising)]”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</w:t>
        <w:tab/>
        <w:t xml:space="preserve"> “[excerpt from specimen]”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</w:t>
        <w:tab/>
        <w:t xml:space="preserve"> “[excerpt from specimen]”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</w:t>
        <w:tab/>
        <w:t xml:space="preserve"> “[excerpt from specimen]”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Thus, on the face of the specimen, Applicant uses [applied-for mark] in connection with [short description of applied-for services].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Office Action states that “[excerpt from the Office Action].” Applicant respectfully submits that this assessment is incorrect. [Describe in detail how and why the specimen shows the applied-for mark used in the sale, rendering, or advertising of the identified services. Provide any necessary clarification and/or additional evidence to support your argument.].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Should there be any doubt in that regard, Applicant hereby submits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additional specimen that provides further information about the nature of the services offered under the [applied-for mark] mark. In particular, Applicant submits with this response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[type of specimen] (which was in use in commerce as of the date this application was filed) that describes the following features of the [applied-for mark] [short description of applied-for services] in addition to the features described above: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</w:t>
        <w:tab/>
        <w:t xml:space="preserve"> “[excerpt from the specimen from which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consumer can directly associate the applied-for mark with the services identified in the application]”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</w:t>
        <w:tab/>
        <w:t xml:space="preserve"> “[additional excerpt]”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</w:t>
        <w:tab/>
        <w:t xml:space="preserve"> “[additional excerpt]”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additional specimen confirms that the [applied-for mark] services offered by Applicant include the Class [number] services in the application. Applicant’s [applied-for mark] [short description of applied-for services] clearly include “[language from the Office Action regarding the services].”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As for the Office Action’s assertion that Applicant [examiner’s reason for rejection], that issue was squarely addressed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very recent decision in which the [Federal Circuit / Board] held [relevant holding that favors registration]. See [case name and citation]. In [case name], the [Board / Examining Attorney] had required that the applicant [summarize the applicable part of the decision] to prove use in connection with [applied-for services]. The [Federal Circuit / Board] disagreed, holding that the relevant question was “[quote analogous case].”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According to the [Federal Circuit / Board], “[quote analogous case].” The [Federal Circuit / Board] also confirmed that “[quote analogous case].” Reversing the [Board’s / Examining Attorney’s] decision, the [Federal Circuit / Board] held that [analogous case holding].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Here, the record is clear that [describe how applicant provides the type of service for which it seeks registration], as shown in the original specimen of use and as confirmed in the additional specimen submitted herewith. Specifically, as shown in the additional specimen, the [applied-for mark] [type of service]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[describe service], and the [applied-for mark] mark is displayed [         ] during the use of the services, causing the mark to be readily associated with Applicant’s services. Thus,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user of Applicant’s [applied-for mark] [type of service] plainly will associate the [applied-for mark] mark with the Class [number] services set forth in the [identification of services / amended identification of services].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Conclusion.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For the foregoing reasons, Applicant respectfully requests that the refusal be withdrawn, and submits that this application is now in condition for publication.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[Attorney’s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[Attorney’s firm]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[Firm 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[Firm phone 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[Attorney’s email address]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