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Transfer Agent and Registrar Certificate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_______________ ("Transfer Agent") hereby certifies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the duly appointed transfer agent and registrar for the Common Stock, par value $.01 per share (the "Common Stock"), of 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____________ corporation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Before recording the issuances and transfers described below, there were, as of the date of this Certificate, _________ shares of Common Stock issued and outstanding.</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such transfer agent and registrar and in accordance with the instructions of the Company [and the Selling Stockholders (as defined in the Memorandum of Closing to which this Certificate is appended)], Transfer Agent has on or prior to this date, issued, countersigned and registered stock certificates evidencing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__________ shares (the "Shares") of the Company's Common Stock[, consisting of __________shares of Common Stock to be originally issued by the Company [and __________ previously issued shares of Common Stock from the Selling Stockholders]], in the denominations and registered in the names as were specified by ____________________, the representative of the underwriters listed on Schedule [  ] to the Underwriting Agreements dated [   ] between the Company and such underwriters.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Said stock certificates were signed by duly authorized officers of the Company and were countersigned by Transfer Agent by duly authorized officers who at the time of signing said certificates were authorized and qualified to perform such acts.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Transfer Agent is duly and validly registered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Agent" under Section 17A(c) of the Securities and Exchange Act of 1934,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 xml:space="preserve">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the resolutions of Transfer Agent evidencing the authority of the undersigned officer of Transfer Agent to sign this Certificate of Transfer Agent and Registrar, which resolutions are in full force and effect on the date hereof and have not been amended or modified.</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After recording the issuances of the Shares in accordance with the instructions of ___________________, there were, as of the date of this Certificate, ___________ shares of Common Stock of the Company issued and outstanding. Dated: __________, 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TRANSFER AGENT]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RESOLUTIONS.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