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Triennial Statement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 xml:space="preserve">Triennial Statement of </w:t>
      </w:r>
      <w:r>
        <w:rPr>
          <w:rFonts w:ascii="Times New Roman" w:hAnsi="Times New Roman" w:eastAsia="Times New Roman" w:cs="Times New Roman"/>
          <w:b/>
          <w:sz w:val="24"/>
        </w:rPr>
        <w:t>[Name of Professional Service Corporation]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Under Section 1514 of the Business Corporation Law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To: [Name of licensing authority]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triennial statement is furnished by [name], P.C., (the “Corporation”) pursuant to Section 1514 of the Business Corporation Law of New York.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following list sets forth the name and residence address of each shareholder, director and officer of the Corporation: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hereby certified that all such individuals are authorized by law in the State of New York to practice [profession], which profession the Corporation is authorized to practice.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city] New York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[name], P.C.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[Print name below signature]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[President or Vice-President]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Attest: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[Print name below signature]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[Secretary or Assistant Secretary]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