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Tunney Act Government’s Certificate of Compliance</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CERTIFICATE OF COMPLIANCE WITH PROVISIONS OF THE ANTITRUST PROCEDURES AND PENALTIES ACT</w:t>
      </w:r>
    </w:p>
    <w:p>
      <w:pPr>
        <w:keepNext w:val="0"/>
        <w:spacing w:before="200" w:after="0" w:line="260" w:lineRule="exact"/>
        <w:ind w:left="720" w:right="0" w:firstLine="0"/>
        <w:jc w:val="both"/>
      </w:pPr>
      <w:r>
        <w:rPr>
          <w:rFonts w:ascii="Times New Roman" w:hAnsi="Times New Roman" w:eastAsia="Times New Roman" w:cs="Times New Roman"/>
          <w:b w:val="0"/>
          <w:sz w:val="24"/>
        </w:rPr>
        <w:t>Plaintiff, the United States of America (“United States”), by the undersigned attorney, hereby certifies that in compliance with the Antitrust Procedures and Penalties Act, 15 U.S.C. § 16(b)-(h) (“APPA”), the following procedures have been followed in preparation for the entry of the Final Judgment in this matter:</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Complaint and proposed Final Judgment were filed with the Court on [date]. The United States also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Impact Statement on [date].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15 U.S.C. § 16(b), the proposed Final Judgment and Competitive Impact Statement were published in the Federal Register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published notice is attached to this declaration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15 U.S.C. § 16(b), copies of the proposed Final Judgment and Competitive Impact Statement were furnished to all persons requesting them and made available on the website of the Antitrust Division of the Department of Justice.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15 U.S.C. § 16(c),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 terms of the proposed Final Judgment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summary of the Competitive Impact Statement were published in [name of newspaper],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newspaper of general circulation in the District of Columbia, for seven days between [date] and [date]. [The same summaries were also published in [names of additional newspaper],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newspaper of general circulation in [location], for seven days between [date] and [date]]. Copies of the notice[s] and Proof[s] of Publication [is/are] attached as Exhibit B.</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noted in the Competitive Impact Statement, no determinative materials or documents within the meaning of 15 U.S.C. § 16(b) were considered by the United States in formulating the proposed Final Judgment, so none were furnished to any person pursuant to 15 U.S.C. § 16(b) or published pursuant to 15 U.S.C. § 16(c).</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required by 15 U.S.C. § 16(g), the Defendants jointly filed with the Court,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any written or oral communications made by or on behalf of the Defendants, or any other person, with any officer or employee of the United States concerning the proposed Final Judgment.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sixty-day comment period prescribed by 15 U.S.C. § 16(b) and (d) for the receipt and consideration of written comments, during which the proposed Final Judgment could not be entered, commenced on [date] and ended on [date]. The United States did not receive any comments on the proposed Final Judgment.</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have satisfied all of the APPA’s requirements—15 U.S.C. § 16(b)–(h)—that were conditions for entering the proposed Final Judgment. The Court may now enter the Final Judgment if the Court determines, pursuant to 15 U.S.C. § 16(e), entry of the Final Judgment is in the public interest.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Pursuant to 28 U.S.C. § 1746, I declare, under penalty of perjury, that the foregoing is true and correct</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[declarant]</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Executed on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