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Delaware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Del. Code Ann. tit. 6, § 18-302,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 xml:space="preserve">city], </w:t>
      </w:r>
      <w:r>
        <w:rPr>
          <w:rFonts w:ascii="Times New Roman" w:hAnsi="Times New Roman" w:eastAsia="Times New Roman" w:cs="Times New Roman"/>
          <w:sz w:val="24"/>
        </w:rPr>
        <w:t>[</w:t>
      </w:r>
      <w:r>
        <w:rPr>
          <w:rFonts w:ascii="Times New Roman" w:hAnsi="Times New Roman" w:eastAsia="Times New Roman" w:cs="Times New Roman"/>
          <w:sz w:val="24"/>
        </w:rPr>
        <w:t>state]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sz w:val="24"/>
        </w:rPr>
        <w:t xml:space="preserve"> including, without limitation, the documents set forth on Schedule A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