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p>
    <w:p>
      <w:pPr>
        <w:keepNext w:val="0"/>
        <w:spacing w:before="200" w:after="0" w:line="260" w:lineRule="exact"/>
        <w:ind w:left="72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2-408 of the Maryland General Corporation Law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was filed with the Maryland Secretary of State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Maryland Secretary of State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stockholders, and the Board; minutes of all meetings of board committees; all written consents of board of directors' meetings and board committees; records of stockholders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360" w:right="0" w:firstLine="0"/>
        <w:jc w:val="both"/>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