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[COMPANY NAME]</w:t>
      </w:r>
    </w:p>
    <w:p>
      <w:pPr/>
      <w:r>
        <w:rPr>
          <w:rFonts w:ascii="Times New Roman" w:hAnsi="Times New Roman" w:eastAsia="Times New Roman" w:cs="Times New Roman"/>
          <w:sz w:val="24"/>
        </w:rPr>
        <w:t>[NUMBER] American Depositary Shares</w:t>
      </w:r>
    </w:p>
    <w:p>
      <w:pPr/>
      <w:r>
        <w:rPr>
          <w:rFonts w:ascii="Times New Roman" w:hAnsi="Times New Roman" w:eastAsia="Times New Roman" w:cs="Times New Roman"/>
          <w:sz w:val="24"/>
        </w:rPr>
        <w:t>Representing an Aggregate of [NUMBER] [CLASS] Ordinary Shares in Bearer Form</w:t>
      </w:r>
    </w:p>
    <w:p>
      <w:pPr/>
    </w:p>
    <w:p>
      <w:pPr>
        <w:jc w:val="right"/>
      </w:pPr>
      <w:r>
        <w:rPr>
          <w:rFonts w:ascii="Times New Roman" w:hAnsi="Times New Roman" w:eastAsia="Times New Roman" w:cs="Times New Roman"/>
          <w:sz w:val="24"/>
        </w:rPr>
        <w:t>[DATE]</w:t>
      </w:r>
    </w:p>
    <w:p>
      <w:pPr/>
      <w:r>
        <w:rPr>
          <w:rFonts w:ascii="Times New Roman" w:hAnsi="Times New Roman" w:eastAsia="Times New Roman" w:cs="Times New Roman"/>
          <w:sz w:val="24"/>
        </w:rPr>
        <w:t>[LEAD UNDERWRITER(S)]</w:t>
      </w:r>
    </w:p>
    <w:p>
      <w:pPr/>
      <w:r>
        <w:rPr>
          <w:rFonts w:ascii="Times New Roman" w:hAnsi="Times New Roman" w:eastAsia="Times New Roman" w:cs="Times New Roman"/>
          <w:sz w:val="24"/>
        </w:rPr>
        <w:t>As Representative[s] of the</w:t>
      </w:r>
    </w:p>
    <w:p>
      <w:pPr/>
      <w:r>
        <w:rPr>
          <w:rFonts w:ascii="Times New Roman" w:hAnsi="Times New Roman" w:eastAsia="Times New Roman" w:cs="Times New Roman"/>
          <w:sz w:val="24"/>
        </w:rPr>
        <w:t>several Underwriters listed</w:t>
      </w:r>
    </w:p>
    <w:p>
      <w:pPr/>
      <w:r>
        <w:rPr>
          <w:rFonts w:ascii="Times New Roman" w:hAnsi="Times New Roman" w:eastAsia="Times New Roman" w:cs="Times New Roman"/>
          <w:sz w:val="24"/>
        </w:rPr>
        <w:t xml:space="preserve">in </w:t>
      </w:r>
      <w:r>
        <w:rPr>
          <w:rFonts w:ascii="Times New Roman" w:hAnsi="Times New Roman" w:eastAsia="Times New Roman" w:cs="Times New Roman"/>
          <w:sz w:val="24"/>
        </w:rPr>
        <w:t>Schedule [1]</w:t>
      </w:r>
      <w:r>
        <w:rPr>
          <w:rFonts w:ascii="Times New Roman" w:hAnsi="Times New Roman" w:eastAsia="Times New Roman" w:cs="Times New Roman"/>
          <w:sz w:val="24"/>
        </w:rPr>
        <w:t xml:space="preserve"> hereto</w:t>
      </w:r>
    </w:p>
    <w:p>
      <w:pPr/>
      <w:r>
        <w:rPr>
          <w:rFonts w:ascii="Times New Roman" w:hAnsi="Times New Roman" w:eastAsia="Times New Roman" w:cs="Times New Roman"/>
          <w:sz w:val="24"/>
        </w:rPr>
        <w:t>[c/o] [NAME OF LEAD UNDERWRITER]</w:t>
      </w:r>
    </w:p>
    <w:p>
      <w:pPr/>
      <w:r>
        <w:rPr>
          <w:rFonts w:ascii="Times New Roman" w:hAnsi="Times New Roman" w:eastAsia="Times New Roman" w:cs="Times New Roman"/>
          <w:sz w:val="24"/>
        </w:rPr>
        <w:t>[ADDRESS OF LEAD UNDERWRITER]</w:t>
      </w:r>
    </w:p>
    <w:p>
      <w:pPr/>
      <w:r>
        <w:rPr>
          <w:rFonts w:ascii="Times New Roman" w:hAnsi="Times New Roman" w:eastAsia="Times New Roman" w:cs="Times New Roman"/>
          <w:sz w:val="24"/>
        </w:rPr>
        <w:t>Ladies and Gentlemen:</w:t>
      </w:r>
    </w:p>
    <w:p>
      <w:pPr/>
      <w:r>
        <w:rPr>
          <w:rFonts w:ascii="Times New Roman" w:hAnsi="Times New Roman" w:eastAsia="Times New Roman" w:cs="Times New Roman"/>
          <w:sz w:val="24"/>
        </w:rPr>
        <w:t>[COMPANY NAME], a [COMPANY HOME JURISDICTION] [CORPORATE FORM] (the “</w:t>
      </w:r>
      <w:r>
        <w:rPr>
          <w:rFonts w:ascii="Times New Roman" w:hAnsi="Times New Roman" w:eastAsia="Times New Roman" w:cs="Times New Roman"/>
          <w:sz w:val="24"/>
        </w:rPr>
        <w:t>Company</w:t>
      </w:r>
      <w:r>
        <w:rPr>
          <w:rFonts w:ascii="Times New Roman" w:hAnsi="Times New Roman" w:eastAsia="Times New Roman" w:cs="Times New Roman"/>
          <w:sz w:val="24"/>
        </w:rPr>
        <w:t>”), proposes to issue and sell to the several underwriters listed in Schedule 1 hereto (the “</w:t>
      </w:r>
      <w:r>
        <w:rPr>
          <w:rFonts w:ascii="Times New Roman" w:hAnsi="Times New Roman" w:eastAsia="Times New Roman" w:cs="Times New Roman"/>
          <w:sz w:val="24"/>
        </w:rPr>
        <w:t>Underwriters</w:t>
      </w:r>
      <w:r>
        <w:rPr>
          <w:rFonts w:ascii="Times New Roman" w:hAnsi="Times New Roman" w:eastAsia="Times New Roman" w:cs="Times New Roman"/>
          <w:sz w:val="24"/>
        </w:rPr>
        <w:t>”), for whom you are acting as representatives (the “</w:t>
      </w:r>
      <w:r>
        <w:rPr>
          <w:rFonts w:ascii="Times New Roman" w:hAnsi="Times New Roman" w:eastAsia="Times New Roman" w:cs="Times New Roman"/>
          <w:sz w:val="24"/>
        </w:rPr>
        <w:t>Representatives</w:t>
      </w:r>
      <w:r>
        <w:rPr>
          <w:rFonts w:ascii="Times New Roman" w:hAnsi="Times New Roman" w:eastAsia="Times New Roman" w:cs="Times New Roman"/>
          <w:sz w:val="24"/>
        </w:rPr>
        <w:t>”), an aggregate of [NUMBER] [Class [CLASS]] ordinary shares of the Company, par value [CURRENCY][NUMBER] per share (the “</w:t>
      </w:r>
      <w:r>
        <w:rPr>
          <w:rFonts w:ascii="Times New Roman" w:hAnsi="Times New Roman" w:eastAsia="Times New Roman" w:cs="Times New Roman"/>
          <w:sz w:val="24"/>
        </w:rPr>
        <w:t>Shares</w:t>
      </w:r>
      <w:r>
        <w:rPr>
          <w:rFonts w:ascii="Times New Roman" w:hAnsi="Times New Roman" w:eastAsia="Times New Roman" w:cs="Times New Roman"/>
          <w:sz w:val="24"/>
        </w:rPr>
        <w:t>”), to be represented by American Depositary Shares (“ADSs”) , each ADS representing [NUMBER] Shares[, and certain shareholders of the Company named in Schedule 2 hereto (the “</w:t>
      </w:r>
      <w:r>
        <w:rPr>
          <w:rFonts w:ascii="Times New Roman" w:hAnsi="Times New Roman" w:eastAsia="Times New Roman" w:cs="Times New Roman"/>
          <w:sz w:val="24"/>
        </w:rPr>
        <w:t>Selling Shareholders</w:t>
      </w:r>
      <w:r>
        <w:rPr>
          <w:rFonts w:ascii="Times New Roman" w:hAnsi="Times New Roman" w:eastAsia="Times New Roman" w:cs="Times New Roman"/>
          <w:sz w:val="24"/>
        </w:rPr>
        <w:t>”)] propose to sell to the several Underwriters an aggregate of [NUMBER] Shares to be represented by ADSs] ([collectively, ]the “</w:t>
      </w:r>
      <w:r>
        <w:rPr>
          <w:rFonts w:ascii="Times New Roman" w:hAnsi="Times New Roman" w:eastAsia="Times New Roman" w:cs="Times New Roman"/>
          <w:sz w:val="24"/>
        </w:rPr>
        <w:t>Underwritten ADSs</w:t>
      </w:r>
      <w:r>
        <w:rPr>
          <w:rFonts w:ascii="Times New Roman" w:hAnsi="Times New Roman" w:eastAsia="Times New Roman" w:cs="Times New Roman"/>
          <w:sz w:val="24"/>
        </w:rPr>
        <w:t>”). The Company[ and the Selling Shareholders] [have/has] also entered into a [COMPANY’S HOME JURISDICTION] placement agency agreement (the “[COMPANY’S HOME JURISDICTION] Placement Agency Agreement”), dated as of [DATE] and governed by [COMPANY’S HOME JURISDICTION] law, with [PLACEMENT AGENT] (the “[COMPANY’S HOME JURISDICTION] Placement Agent”) for the concurrent offer and sale by the Company[ and the Selling Shareholders] in [COMPANY’S HOME JURISDICTION] (the “[COMPANY’S HOME JURISDICTION] Offering”) of [NUMBER] Shares (the “[COMPANY’S HOME JURISDICTION] Shares”). In connection with the [COMPANY’S HOME JURISDICTION] Offering, the Company has prepared a prospectus dated [DATE] (the “[COMPANY’S HOME JURISDICTION] Prospectus”). In addition, the Company proposes to issue and sell, at the option of the Underwriters, up to an additional [NUMBER]` Shares to be represented by ADSs, (the “Option ADSs”). The Underwritten ADSs and the Option ADSs are herein referred to as the “</w:t>
      </w:r>
      <w:r>
        <w:rPr>
          <w:rFonts w:ascii="Times New Roman" w:hAnsi="Times New Roman" w:eastAsia="Times New Roman" w:cs="Times New Roman"/>
          <w:sz w:val="24"/>
        </w:rPr>
        <w:t>ADSs</w:t>
      </w:r>
      <w:r>
        <w:rPr>
          <w:rFonts w:ascii="Times New Roman" w:hAnsi="Times New Roman" w:eastAsia="Times New Roman" w:cs="Times New Roman"/>
          <w:sz w:val="24"/>
        </w:rPr>
        <w:t>”. The Shares underlying the Underwritten ADSs are herein called the “</w:t>
      </w:r>
      <w:r>
        <w:rPr>
          <w:rFonts w:ascii="Times New Roman" w:hAnsi="Times New Roman" w:eastAsia="Times New Roman" w:cs="Times New Roman"/>
          <w:sz w:val="24"/>
        </w:rPr>
        <w:t>Underwritten Shares</w:t>
      </w:r>
      <w:r>
        <w:rPr>
          <w:rFonts w:ascii="Times New Roman" w:hAnsi="Times New Roman" w:eastAsia="Times New Roman" w:cs="Times New Roman"/>
          <w:sz w:val="24"/>
        </w:rPr>
        <w:t>” and the Shares underlying the Option ADSs are herein called the “</w:t>
      </w:r>
      <w:r>
        <w:rPr>
          <w:rFonts w:ascii="Times New Roman" w:hAnsi="Times New Roman" w:eastAsia="Times New Roman" w:cs="Times New Roman"/>
          <w:sz w:val="24"/>
        </w:rPr>
        <w:t>Option Shares</w:t>
      </w:r>
      <w:r>
        <w:rPr>
          <w:rFonts w:ascii="Times New Roman" w:hAnsi="Times New Roman" w:eastAsia="Times New Roman" w:cs="Times New Roman"/>
          <w:sz w:val="24"/>
        </w:rPr>
        <w:t>”. The Underwritten Shares and the Option Shares are herein collectively called the “</w:t>
      </w:r>
      <w:r>
        <w:rPr>
          <w:rFonts w:ascii="Times New Roman" w:hAnsi="Times New Roman" w:eastAsia="Times New Roman" w:cs="Times New Roman"/>
          <w:sz w:val="24"/>
        </w:rPr>
        <w:t>Underlying Shares</w:t>
      </w:r>
      <w:r>
        <w:rPr>
          <w:rFonts w:ascii="Times New Roman" w:hAnsi="Times New Roman" w:eastAsia="Times New Roman" w:cs="Times New Roman"/>
          <w:sz w:val="24"/>
        </w:rPr>
        <w:t>”.</w:t>
      </w:r>
    </w:p>
    <w:p>
      <w:pPr/>
      <w:r>
        <w:rPr>
          <w:rFonts w:ascii="Times New Roman" w:hAnsi="Times New Roman" w:eastAsia="Times New Roman" w:cs="Times New Roman"/>
          <w:sz w:val="24"/>
        </w:rPr>
        <w:t>The ADSs are to be issued pursuant to a deposit agreement (the “</w:t>
      </w:r>
      <w:r>
        <w:rPr>
          <w:rFonts w:ascii="Times New Roman" w:hAnsi="Times New Roman" w:eastAsia="Times New Roman" w:cs="Times New Roman"/>
          <w:sz w:val="24"/>
        </w:rPr>
        <w:t>Deposit Agreement</w:t>
      </w:r>
      <w:r>
        <w:rPr>
          <w:rFonts w:ascii="Times New Roman" w:hAnsi="Times New Roman" w:eastAsia="Times New Roman" w:cs="Times New Roman"/>
          <w:sz w:val="24"/>
        </w:rPr>
        <w:t>”) entered into on the date hereof among the Company, [DEPOSITARY], as Depositary (the “</w:t>
      </w:r>
      <w:r>
        <w:rPr>
          <w:rFonts w:ascii="Times New Roman" w:hAnsi="Times New Roman" w:eastAsia="Times New Roman" w:cs="Times New Roman"/>
          <w:sz w:val="24"/>
        </w:rPr>
        <w:t>Depositary</w:t>
      </w:r>
      <w:r>
        <w:rPr>
          <w:rFonts w:ascii="Times New Roman" w:hAnsi="Times New Roman" w:eastAsia="Times New Roman" w:cs="Times New Roman"/>
          <w:sz w:val="24"/>
        </w:rPr>
        <w:t>”), and the holders from time to time of the ADSs issued thereunder.</w:t>
      </w:r>
    </w:p>
    <w:p>
      <w:pPr/>
      <w:r>
        <w:rPr>
          <w:rFonts w:ascii="Times New Roman" w:hAnsi="Times New Roman" w:eastAsia="Times New Roman" w:cs="Times New Roman"/>
          <w:sz w:val="24"/>
        </w:rPr>
        <w:t>The Company and the Selling Shareholders hereby confirm their agreement with the several Underwriters concerning the purchase and sale of the ADSs, as follows:</w:t>
      </w:r>
    </w:p>
    <w:p>
      <w:pPr/>
      <w:r>
        <w:rPr>
          <w:rFonts w:ascii="Times New Roman" w:hAnsi="Times New Roman" w:eastAsia="Times New Roman" w:cs="Times New Roman"/>
          <w:sz w:val="24"/>
        </w:rPr>
        <w:t>Registration Statement.</w:t>
      </w:r>
      <w:r>
        <w:rPr>
          <w:rFonts w:ascii="Times New Roman" w:hAnsi="Times New Roman" w:eastAsia="Times New Roman" w:cs="Times New Roman"/>
          <w:sz w:val="24"/>
        </w:rPr>
        <w:t xml:space="preserve"> The Company has prepared and filed with the U.S. Securities and Exchange Commission (the “SEC”) under the U.S. Securities Act of 1933, as amended, and the rules and regulations of the SEC thereunder (collectively, the “</w:t>
      </w:r>
      <w:r>
        <w:rPr>
          <w:rFonts w:ascii="Times New Roman" w:hAnsi="Times New Roman" w:eastAsia="Times New Roman" w:cs="Times New Roman"/>
          <w:sz w:val="24"/>
        </w:rPr>
        <w:t>Securities Act</w:t>
      </w:r>
      <w:r>
        <w:rPr>
          <w:rFonts w:ascii="Times New Roman" w:hAnsi="Times New Roman" w:eastAsia="Times New Roman" w:cs="Times New Roman"/>
          <w:sz w:val="24"/>
        </w:rPr>
        <w:t>”), a registration statement on Form F-1 (File No. [NUMBER]), including a prospectus, relating to the Underlying Shares. Such registration statement, as amended at the time it became effective, including the information, if any, deemed pursuant to Rule 430A or 430C under the Securities Act to be part of the registration statement at the time of its effectiveness (“</w:t>
      </w:r>
      <w:r>
        <w:rPr>
          <w:rFonts w:ascii="Times New Roman" w:hAnsi="Times New Roman" w:eastAsia="Times New Roman" w:cs="Times New Roman"/>
          <w:sz w:val="24"/>
        </w:rPr>
        <w:t>Rule 430 Information</w:t>
      </w:r>
      <w:r>
        <w:rPr>
          <w:rFonts w:ascii="Times New Roman" w:hAnsi="Times New Roman" w:eastAsia="Times New Roman" w:cs="Times New Roman"/>
          <w:sz w:val="24"/>
        </w:rPr>
        <w:t>”), is referred to herein as the “</w:t>
      </w:r>
      <w:r>
        <w:rPr>
          <w:rFonts w:ascii="Times New Roman" w:hAnsi="Times New Roman" w:eastAsia="Times New Roman" w:cs="Times New Roman"/>
          <w:sz w:val="24"/>
        </w:rPr>
        <w:t>Registration Statement</w:t>
      </w:r>
      <w:r>
        <w:rPr>
          <w:rFonts w:ascii="Times New Roman" w:hAnsi="Times New Roman" w:eastAsia="Times New Roman" w:cs="Times New Roman"/>
          <w:sz w:val="24"/>
        </w:rPr>
        <w:t>”; and as used herein, the term “</w:t>
      </w:r>
      <w:r>
        <w:rPr>
          <w:rFonts w:ascii="Times New Roman" w:hAnsi="Times New Roman" w:eastAsia="Times New Roman" w:cs="Times New Roman"/>
          <w:sz w:val="24"/>
        </w:rPr>
        <w:t>Preliminary Prospectus</w:t>
      </w:r>
      <w:r>
        <w:rPr>
          <w:rFonts w:ascii="Times New Roman" w:hAnsi="Times New Roman" w:eastAsia="Times New Roman" w:cs="Times New Roman"/>
          <w:sz w:val="24"/>
        </w:rPr>
        <w:t>” means each prospectus included in such registration statement (and any amendments thereto) before effectiveness, any prospectus filed with the SEC pursuant to Rule 424(a) under the Securities Act and the prospectus included in the Registration Statement at the time of its effectiveness that omits Rule 430 Information and the term “</w:t>
      </w:r>
      <w:r>
        <w:rPr>
          <w:rFonts w:ascii="Times New Roman" w:hAnsi="Times New Roman" w:eastAsia="Times New Roman" w:cs="Times New Roman"/>
          <w:sz w:val="24"/>
        </w:rPr>
        <w:t>Prospectus</w:t>
      </w:r>
      <w:r>
        <w:rPr>
          <w:rFonts w:ascii="Times New Roman" w:hAnsi="Times New Roman" w:eastAsia="Times New Roman" w:cs="Times New Roman"/>
          <w:sz w:val="24"/>
        </w:rPr>
        <w:t>” means the prospectus in the form first used (or made available upon request of purchasers pursuant to Rule 173 under the Securities Act) in connection with confirmation of sales of the ADSs. If the Company has filed an abbreviated registration statement pursuant to Rule 462(b) under the Securities Act (the “</w:t>
      </w:r>
      <w:r>
        <w:rPr>
          <w:rFonts w:ascii="Times New Roman" w:hAnsi="Times New Roman" w:eastAsia="Times New Roman" w:cs="Times New Roman"/>
          <w:sz w:val="24"/>
        </w:rPr>
        <w:t>Rule 462 Registration Statement</w:t>
      </w:r>
      <w:r>
        <w:rPr>
          <w:rFonts w:ascii="Times New Roman" w:hAnsi="Times New Roman" w:eastAsia="Times New Roman" w:cs="Times New Roman"/>
          <w:sz w:val="24"/>
        </w:rPr>
        <w:t>”), then any reference herein to the term “Registration Statement” shall be deemed to include such Rule 462 Registration Statement.</w:t>
      </w:r>
    </w:p>
    <w:p>
      <w:pPr/>
      <w:r>
        <w:rPr>
          <w:rFonts w:ascii="Times New Roman" w:hAnsi="Times New Roman" w:eastAsia="Times New Roman" w:cs="Times New Roman"/>
          <w:sz w:val="24"/>
        </w:rPr>
        <w:t>At or prior to the Applicable Time (as defined below), the Company had prepared the following information (collectively with the pricing information set forth on Annex A, the “Pricing Disclosure Package”): a Preliminary Prospectus, dated [DATE], and each “free-writing prospectus” (as defined pursuant to Rule 405 under the Securities Act) listed on Annex A hereto.</w:t>
      </w:r>
    </w:p>
    <w:p>
      <w:pPr/>
      <w:r>
        <w:rPr>
          <w:rFonts w:ascii="Times New Roman" w:hAnsi="Times New Roman" w:eastAsia="Times New Roman" w:cs="Times New Roman"/>
          <w:sz w:val="24"/>
        </w:rPr>
        <w:t>“Applicable Time” means [TIME] [a/p].m., New York City time, on [DATE].</w:t>
      </w:r>
    </w:p>
    <w:p>
      <w:pPr/>
      <w:r>
        <w:rPr>
          <w:rFonts w:ascii="Times New Roman" w:hAnsi="Times New Roman" w:eastAsia="Times New Roman" w:cs="Times New Roman"/>
          <w:sz w:val="24"/>
        </w:rPr>
        <w:t>Purchase of the ADSs.</w:t>
      </w:r>
    </w:p>
    <w:p>
      <w:pPr/>
      <w:r>
        <w:rPr>
          <w:rFonts w:ascii="Times New Roman" w:hAnsi="Times New Roman" w:eastAsia="Times New Roman" w:cs="Times New Roman"/>
          <w:sz w:val="24"/>
        </w:rPr>
        <w:t>The Company agrees to cause to be issued and sell, [and each of the Selling Shareholders agrees, severally and not jointly, to cause to be issued and sell, ]the Underwritten ADSs to the several Underwriters as provided in this underwriting agreement (this “</w:t>
      </w:r>
      <w:r>
        <w:rPr>
          <w:rFonts w:ascii="Times New Roman" w:hAnsi="Times New Roman" w:eastAsia="Times New Roman" w:cs="Times New Roman"/>
          <w:sz w:val="24"/>
        </w:rPr>
        <w:t>Agreement</w:t>
      </w:r>
      <w:r>
        <w:rPr>
          <w:rFonts w:ascii="Times New Roman" w:hAnsi="Times New Roman" w:eastAsia="Times New Roman" w:cs="Times New Roman"/>
          <w:sz w:val="24"/>
        </w:rPr>
        <w:t>”), and each Underwriter, on the basis of the representations, warranties and agreements set forth herein and subject to the conditions set forth herein, agrees, severally and not jointly, to purchase at a price per ADS (the “</w:t>
      </w:r>
      <w:r>
        <w:rPr>
          <w:rFonts w:ascii="Times New Roman" w:hAnsi="Times New Roman" w:eastAsia="Times New Roman" w:cs="Times New Roman"/>
          <w:sz w:val="24"/>
        </w:rPr>
        <w:t>Purchase Price</w:t>
      </w:r>
      <w:r>
        <w:rPr>
          <w:rFonts w:ascii="Times New Roman" w:hAnsi="Times New Roman" w:eastAsia="Times New Roman" w:cs="Times New Roman"/>
          <w:sz w:val="24"/>
        </w:rPr>
        <w:t xml:space="preserve">”) of [$/€/other currency][NUMBER] from the Company the respective number of Underwritten ADSs set forth opposite such Underwriter’s name in Schedule 1 hereto[ and from each of the Selling Shareholders the number of Underwritten ADSs (to be adjusted by you so as to eliminate fractional shares) determined by multiplying the aggregate number of Underwritten ADSs to be sold by each of the Selling Shareholders as set forth opposite their respective names in Schedule 2 hereto by a fraction, the numerator of which is the aggregate number of Underwritten ADSs to be purchased by such Underwriter as set forth opposite the name of such Underwriter in Schedule 1 hereto and the denominator of which is the aggregate number of Underwritten ADSs to be purchased by all the Underwriters from all of the Selling Shareholders hereunder]. In addition, the Company agrees to cause to be issued and sell the Option ADSs to the several Underwriters as provided in this Agreement, and the Underwriters, on the basis of the representations, warranties and </w:t>
      </w:r>
      <w:r>
        <w:rPr>
          <w:rFonts w:ascii="Times New Roman" w:hAnsi="Times New Roman" w:eastAsia="Times New Roman" w:cs="Times New Roman"/>
          <w:sz w:val="24"/>
        </w:rPr>
        <w:t xml:space="preserve">agreements set forth herein and subject to the conditions set forth herein, shall have the option to purchase, severally and not jointly, from the Company at the Purchase Price less an amount per ADS equal to any dividends or distributions declared by the Company and payable on the Shares underlying Underwritten ADSs but not payable on the Shares underlying Option ADSs. If any Option ADSs are to be purchased, the number of Option ADSs to be purchased by each Underwriter shall be the number of Option ADSs which bears the same ratio to the aggregate number of Option ADSs being purchased as the number of Underwritten ADSs set forth opposite the name of such Underwriter in Schedule 1 hereto (or such number increased as set forth in Section </w:t>
      </w:r>
      <w:r>
        <w:rPr>
          <w:rFonts w:ascii="Times New Roman" w:hAnsi="Times New Roman" w:eastAsia="Times New Roman" w:cs="Times New Roman"/>
          <w:sz w:val="24"/>
        </w:rPr>
        <w:t>11</w:t>
      </w:r>
      <w:r>
        <w:rPr>
          <w:rFonts w:ascii="Times New Roman" w:hAnsi="Times New Roman" w:eastAsia="Times New Roman" w:cs="Times New Roman"/>
          <w:sz w:val="24"/>
        </w:rPr>
        <w:t xml:space="preserve"> hereof) bears to the aggregate number of Underwritten ADSs being purchased from the Company[ and the Selling Shareholders] by the several Underwriters, subject, however, to such adjustments to eliminate any fractional ADSs as the Representatives in its sole discretion shall make. Any such election to purchase Option ADSs shall be made in proportion to the maximum number of Option Shares to be sold by the Company as set forth in Schedule 2. hereto.</w:t>
      </w:r>
    </w:p>
    <w:p>
      <w:pPr/>
      <w:r>
        <w:rPr>
          <w:rFonts w:ascii="Times New Roman" w:hAnsi="Times New Roman" w:eastAsia="Times New Roman" w:cs="Times New Roman"/>
          <w:sz w:val="24"/>
        </w:rPr>
        <w:t xml:space="preserve">The Underwriters may exercise the option to purchase Option ADSs at any time in whole, or from time to time in part, on or before the [thirtieth (30)] day following the date of the Prospectus, by written notice from the Representatives to the Company[ and the Selling Shareholders]. Such notice shall set forth the aggregate number of Option ADSs as to which the option is being exercised and the date and time when the Option ADSs are to be delivered and paid for, which may be the same date and time as the Closing Date (as hereinafter defined) but shall not be earlier than the Closing Date nor later than the tenth full business day (as hereinafter defined) after the date of such notice (unless such time and date are postponed in accordance with the provisions of Section </w:t>
      </w:r>
      <w:r>
        <w:rPr>
          <w:rFonts w:ascii="Times New Roman" w:hAnsi="Times New Roman" w:eastAsia="Times New Roman" w:cs="Times New Roman"/>
          <w:sz w:val="24"/>
        </w:rPr>
        <w:t>11</w:t>
      </w:r>
      <w:r>
        <w:rPr>
          <w:rFonts w:ascii="Times New Roman" w:hAnsi="Times New Roman" w:eastAsia="Times New Roman" w:cs="Times New Roman"/>
          <w:sz w:val="24"/>
        </w:rPr>
        <w:t xml:space="preserve"> hereof). Any such notice shall be given at least two business days prior to the date and time of delivery specified therein.</w:t>
      </w:r>
    </w:p>
    <w:p>
      <w:pPr/>
      <w:r>
        <w:rPr>
          <w:rFonts w:ascii="Times New Roman" w:hAnsi="Times New Roman" w:eastAsia="Times New Roman" w:cs="Times New Roman"/>
          <w:sz w:val="24"/>
        </w:rPr>
        <w:t>The Company</w:t>
      </w:r>
      <w:r>
        <w:rPr>
          <w:rFonts w:ascii="Times New Roman" w:hAnsi="Times New Roman" w:eastAsia="Times New Roman" w:cs="Times New Roman"/>
          <w:sz w:val="24"/>
        </w:rPr>
        <w:t xml:space="preserve"> [</w:t>
      </w:r>
      <w:r>
        <w:rPr>
          <w:rFonts w:ascii="Times New Roman" w:hAnsi="Times New Roman" w:eastAsia="Times New Roman" w:cs="Times New Roman"/>
          <w:sz w:val="24"/>
        </w:rPr>
        <w:t>and the Selling Shareholders] understand that the Underwriters intend to make a public offering of the ADSs as soon after the effectiveness of this Agreement as in the judgment of the Representatives is advisable, and initially to offer the ADSs on the terms set forth in the Pricing Disclosure Package. The Company[ and the Selling Shareholders] acknowledge and agree that the Underwriters may offer and sell ADSs to or through any affiliate of an Underwriter.</w:t>
      </w:r>
    </w:p>
    <w:p>
      <w:pPr/>
      <w:r>
        <w:rPr>
          <w:rFonts w:ascii="Times New Roman" w:hAnsi="Times New Roman" w:eastAsia="Times New Roman" w:cs="Times New Roman"/>
          <w:sz w:val="24"/>
        </w:rPr>
        <w:t>Payment for the ADSs shall be made by wire transfer in immediately available funds to the accounts specified by the Company and the Attorneys-in-Fact (as defined below) to the Representatives in the case of the Underwritten ADSs, at the offices of [COUNSEL] at 10:00 A.M., New York City time, on [DATE], or at such other time or place on the same or such other date, not later than the fifth business day thereafter, as the Representatives, the Company and the Attorneys-in-Fact may agree upon in writing or, in the case of the Option ADSs, on the date and at the time and place specified by the Representatives in the written notice of the Underwriters’ election to purchase such Option ADSs. The time and date of such payment for the Underwritten ADSs is referred to herein as the “</w:t>
      </w:r>
      <w:r>
        <w:rPr>
          <w:rFonts w:ascii="Times New Roman" w:hAnsi="Times New Roman" w:eastAsia="Times New Roman" w:cs="Times New Roman"/>
          <w:sz w:val="24"/>
        </w:rPr>
        <w:t>Closing Date</w:t>
      </w:r>
      <w:r>
        <w:rPr>
          <w:rFonts w:ascii="Times New Roman" w:hAnsi="Times New Roman" w:eastAsia="Times New Roman" w:cs="Times New Roman"/>
          <w:sz w:val="24"/>
        </w:rPr>
        <w:t>” and the time and date for such payment for the Option ADSs, if other than the Closing Date, is herein referred to as the “</w:t>
      </w:r>
      <w:r>
        <w:rPr>
          <w:rFonts w:ascii="Times New Roman" w:hAnsi="Times New Roman" w:eastAsia="Times New Roman" w:cs="Times New Roman"/>
          <w:sz w:val="24"/>
        </w:rPr>
        <w:t>Additional Closing Date</w:t>
      </w:r>
      <w:r>
        <w:rPr>
          <w:rFonts w:ascii="Times New Roman" w:hAnsi="Times New Roman" w:eastAsia="Times New Roman" w:cs="Times New Roman"/>
          <w:sz w:val="24"/>
        </w:rPr>
        <w:t>”.</w:t>
      </w:r>
    </w:p>
    <w:p>
      <w:pPr/>
      <w:r>
        <w:rPr>
          <w:rFonts w:ascii="Times New Roman" w:hAnsi="Times New Roman" w:eastAsia="Times New Roman" w:cs="Times New Roman"/>
          <w:sz w:val="24"/>
        </w:rPr>
        <w:t>Payment for the ADSs to be purchased on the Closing Date or the Additional Closing Date, as the case may be, shall be made against delivery to the Representatives for the respective accounts of the several Underwriters of the ADSs to be purchased on such date or the Additional Closing Date, as the case may be, with any transfer taxes and Depositary fees payable in connection with the sale of such ADSs duly paid by the Company[ and the Selling Shareholders, as applicable]. Delivery of the ADSs shall be made through the facilities of The Depository Trust Company (“DTC”) unless the Representatives shall otherwise instruct.</w:t>
      </w:r>
    </w:p>
    <w:p>
      <w:pPr/>
      <w:r>
        <w:rPr>
          <w:rFonts w:ascii="Times New Roman" w:hAnsi="Times New Roman" w:eastAsia="Times New Roman" w:cs="Times New Roman"/>
          <w:sz w:val="24"/>
        </w:rPr>
        <w:t>[Each of ]the Company[ and each Selling Shareholder] acknowledges and agrees that the Underwriters are acting solely in the capacity of an arm’s length contractual counterparty to the Company[ and the Selling Shareholders] with respect to the offering of ADSs contemplated hereby (including in connection with determining the terms of the offering) and not as a financial advisor or a fiduciary to, or an agent of, the Company[, the Selling Shareholders] or any other person. Additionally, neither the Representatives nor any other Underwriter is advising the Company[, the Selling Shareholders] or any other person as to any legal, tax, investment, accounting or regulatory matters in any jurisdiction. The Company[ and the Selling Shareholders] shall consult with their own advisors concerning such matters and shall be responsible for making its own independent investigation and appraisal of the transactions contemplated hereby, and the Underwriters shall have no responsibility or liability to the Company[ or the Selling Shareholders] with respect thereto. Any review by the Underwriters of the Company, the transactions contemplated hereby or other matters relating to such transactions will be performed solely for the benefit of the Underwriters and shall not be on behalf of the Company[ or the Selling Shareholders].</w:t>
      </w:r>
    </w:p>
    <w:p>
      <w:pPr/>
      <w:r>
        <w:rPr>
          <w:rFonts w:ascii="Times New Roman" w:hAnsi="Times New Roman" w:eastAsia="Times New Roman" w:cs="Times New Roman"/>
          <w:sz w:val="24"/>
        </w:rPr>
        <w:t>Representations and Warranties of the Company.</w:t>
      </w:r>
      <w:r>
        <w:rPr>
          <w:rFonts w:ascii="Times New Roman" w:hAnsi="Times New Roman" w:eastAsia="Times New Roman" w:cs="Times New Roman"/>
          <w:sz w:val="24"/>
        </w:rPr>
        <w:t xml:space="preserve"> The Company represents and warrants to each Underwriter[ and the Selling Shareholders] that:</w:t>
      </w:r>
    </w:p>
    <w:p>
      <w:pPr/>
      <w:r>
        <w:rPr>
          <w:rFonts w:ascii="Times New Roman" w:hAnsi="Times New Roman" w:eastAsia="Times New Roman" w:cs="Times New Roman"/>
          <w:sz w:val="24"/>
        </w:rPr>
        <w:t>Preliminary Prospectus.</w:t>
      </w:r>
      <w:r>
        <w:rPr>
          <w:rFonts w:ascii="Times New Roman" w:hAnsi="Times New Roman" w:eastAsia="Times New Roman" w:cs="Times New Roman"/>
          <w:sz w:val="24"/>
        </w:rPr>
        <w:t xml:space="preserve"> No order preventing or suspending the use of any Preliminary Prospectus has been issued by the SEC, and each Preliminary Prospectus included in the Pricing Disclosure Package, at the time of filing thereof, complied in all material respects with the Securities Act, and no Preliminary Prospectus, at the time of filing thereof, contained any untrue statement of a material fact or omitted to state a material fact necessary in order to make the statements therein, in the light of the circumstances under which they were made, not misleading; provided that the Company makes no representation or warranty with respect to any statements or omissions made in reliance upon and in conformity with information relating to any Underwriter furnished to the Company in writing by such Underwriter through the Representatives expressly for use in any Preliminary Prospectus; it being understood and agreed that the only such information furnished by any Underwriter consists of the information described as such in Section </w:t>
      </w:r>
      <w:r>
        <w:rPr>
          <w:rFonts w:ascii="Times New Roman" w:hAnsi="Times New Roman" w:eastAsia="Times New Roman" w:cs="Times New Roman"/>
          <w:sz w:val="24"/>
        </w:rPr>
        <w:t>8(b)</w:t>
      </w:r>
      <w:r>
        <w:rPr>
          <w:rFonts w:ascii="Times New Roman" w:hAnsi="Times New Roman" w:eastAsia="Times New Roman" w:cs="Times New Roman"/>
          <w:sz w:val="24"/>
        </w:rPr>
        <w:t xml:space="preserve"> hereof.</w:t>
      </w:r>
    </w:p>
    <w:p>
      <w:pPr/>
      <w:r>
        <w:rPr>
          <w:rFonts w:ascii="Times New Roman" w:hAnsi="Times New Roman" w:eastAsia="Times New Roman" w:cs="Times New Roman"/>
          <w:sz w:val="24"/>
        </w:rPr>
        <w:t>Pricing Disclosure Package.</w:t>
      </w:r>
      <w:r>
        <w:rPr>
          <w:rFonts w:ascii="Times New Roman" w:hAnsi="Times New Roman" w:eastAsia="Times New Roman" w:cs="Times New Roman"/>
          <w:sz w:val="24"/>
        </w:rPr>
        <w:t xml:space="preserve"> The Pricing Disclosure Package, and any individual Written Testing-the-Waters Communication (as defined in Section </w:t>
      </w:r>
      <w:r>
        <w:rPr>
          <w:rFonts w:ascii="Times New Roman" w:hAnsi="Times New Roman" w:eastAsia="Times New Roman" w:cs="Times New Roman"/>
          <w:sz w:val="24"/>
        </w:rPr>
        <w:t>3(aa)</w:t>
      </w:r>
      <w:r>
        <w:rPr>
          <w:rFonts w:ascii="Times New Roman" w:hAnsi="Times New Roman" w:eastAsia="Times New Roman" w:cs="Times New Roman"/>
          <w:sz w:val="24"/>
        </w:rPr>
        <w:t xml:space="preserve"> hereof), when taken together as a whole with the Pricing Disclosure Package, as of the Applicable Time did not, and as of the Closing Date and as of the Additional Closing Date, as the case may be, will not, contain any untrue statement of a material fact or omit to state a </w:t>
      </w:r>
      <w:r>
        <w:rPr>
          <w:rFonts w:ascii="Times New Roman" w:hAnsi="Times New Roman" w:eastAsia="Times New Roman" w:cs="Times New Roman"/>
          <w:sz w:val="24"/>
        </w:rPr>
        <w:t xml:space="preserve">material fact necessary in order to make the statements therein, in the light of the circumstances under which they were made, not misleading; </w:t>
      </w:r>
      <w:r>
        <w:rPr>
          <w:rFonts w:ascii="Times New Roman" w:hAnsi="Times New Roman" w:eastAsia="Times New Roman" w:cs="Times New Roman"/>
          <w:sz w:val="24"/>
        </w:rPr>
        <w:t>provided</w:t>
      </w:r>
      <w:r>
        <w:rPr>
          <w:rFonts w:ascii="Times New Roman" w:hAnsi="Times New Roman" w:eastAsia="Times New Roman" w:cs="Times New Roman"/>
          <w:sz w:val="24"/>
        </w:rPr>
        <w:t xml:space="preserve"> that the Company makes no representation or warranty with respect to any statements or omissions made in reliance upon and in conformity with information relating to any Underwriter furnished to the Company in writing by such Underwriter through the Representatives expressly for use in such Pricing Disclosure Package; it being understood and agreed that the only such information furnished by any Underwriter consists of the information described as such in Section </w:t>
      </w:r>
      <w:r>
        <w:rPr>
          <w:rFonts w:ascii="Times New Roman" w:hAnsi="Times New Roman" w:eastAsia="Times New Roman" w:cs="Times New Roman"/>
          <w:sz w:val="24"/>
        </w:rPr>
        <w:t>8(b)</w:t>
      </w:r>
      <w:r>
        <w:rPr>
          <w:rFonts w:ascii="Times New Roman" w:hAnsi="Times New Roman" w:eastAsia="Times New Roman" w:cs="Times New Roman"/>
          <w:sz w:val="24"/>
        </w:rPr>
        <w:t xml:space="preserve"> hereof.</w:t>
      </w:r>
    </w:p>
    <w:p>
      <w:pPr/>
      <w:r>
        <w:rPr>
          <w:rFonts w:ascii="Times New Roman" w:hAnsi="Times New Roman" w:eastAsia="Times New Roman" w:cs="Times New Roman"/>
          <w:sz w:val="24"/>
        </w:rPr>
        <w:t>Issuer Free Writing Prospectus.</w:t>
      </w:r>
      <w:r>
        <w:rPr>
          <w:rFonts w:ascii="Times New Roman" w:hAnsi="Times New Roman" w:eastAsia="Times New Roman" w:cs="Times New Roman"/>
          <w:sz w:val="24"/>
        </w:rPr>
        <w:t xml:space="preserve"> Other than the Registration Statement, the Preliminary Prospectus[,/ and] the Prospectus, [and any Written Testing-the-Waters Communication,] the Company (including its agents and representatives, other than the Underwriters in their capacity as such) has not prepared, made, used, authorized, approved or referred to and will not prepare, make, use, authorize, approve or refer to any “written communication” (as defined in Rule 405 under the Securities Act) that constitutes an offer to sell or solicitation of an off</w:t>
      </w:r>
      <w:r>
        <w:rPr>
          <w:rFonts w:ascii="Times New Roman" w:hAnsi="Times New Roman" w:eastAsia="Times New Roman" w:cs="Times New Roman"/>
          <w:sz w:val="24"/>
        </w:rPr>
        <w:t>er to buy the ADSs (each such c</w:t>
      </w:r>
      <w:r>
        <w:rPr>
          <w:rFonts w:ascii="Times New Roman" w:hAnsi="Times New Roman" w:eastAsia="Times New Roman" w:cs="Times New Roman"/>
          <w:sz w:val="24"/>
        </w:rPr>
        <w:t>ommunication by the Company or its agents and representatives (other than a communication referred to in clauses (i) and (iii) below) an “</w:t>
      </w:r>
      <w:r>
        <w:rPr>
          <w:rFonts w:ascii="Times New Roman" w:hAnsi="Times New Roman" w:eastAsia="Times New Roman" w:cs="Times New Roman"/>
          <w:sz w:val="24"/>
        </w:rPr>
        <w:t>Issuer Free Writing Prospectus</w:t>
      </w:r>
      <w:r>
        <w:rPr>
          <w:rFonts w:ascii="Times New Roman" w:hAnsi="Times New Roman" w:eastAsia="Times New Roman" w:cs="Times New Roman"/>
          <w:sz w:val="24"/>
        </w:rPr>
        <w:t>”) other than (i) any document not constituting a prospectus pursuant to Section 2(a)(</w:t>
      </w:r>
      <w:r>
        <w:rPr>
          <w:rFonts w:ascii="Times New Roman" w:hAnsi="Times New Roman" w:eastAsia="Times New Roman" w:cs="Times New Roman"/>
          <w:sz w:val="24"/>
        </w:rPr>
        <w:t xml:space="preserve">10)(a) of the Securities Act or Rule 134 under the Securities Act, (ii) the documents listed on Annex A hereto, each electronic road show and any other written communications approved in writing in advance by the Representatives or (iii) the [COMPANY’S HOME COUNTRY] exclusively in [COMPANY’s HOME COUNTRY]. Each such Issuer Free Writing Prospectus complies in all material respects with the Securities Act, has been or will be (within the time period specified in Rule 433) filed in accordance with the Securities Act (to the extent required thereby) and does not conflict with the information contained in the Registration Statement or the Pricing Disclosure Package, and, when taken together with the Preliminary Prospectus accompanying, or delivered prior to delivery of such Issuer Free Writing Prospectus, did not, and as of the Closing Date and as of the Additional Closing Date, as the case may be, will not, contain any untrue statement of a material fact or omit to state a material fact necessary in order to make the statements therein, in the light of the circumstances under which they were made, not misleading; </w:t>
      </w:r>
      <w:r>
        <w:rPr>
          <w:rFonts w:ascii="Times New Roman" w:hAnsi="Times New Roman" w:eastAsia="Times New Roman" w:cs="Times New Roman"/>
          <w:sz w:val="24"/>
        </w:rPr>
        <w:t>provided</w:t>
      </w:r>
      <w:r>
        <w:rPr>
          <w:rFonts w:ascii="Times New Roman" w:hAnsi="Times New Roman" w:eastAsia="Times New Roman" w:cs="Times New Roman"/>
          <w:sz w:val="24"/>
        </w:rPr>
        <w:t xml:space="preserve"> that the Company makes no representation or warranty with respect to any statements or omissions made in each such Issuer Free Writing Prospectus or Preliminary Prospectus in reliance upon and in conformity with information relating to any Underwriter furnished to the Company in writing by such Underwriter through the Representatives expressly for use in such Issuer Free Writing Prospectus or Preliminary Prospectus; it being understood and agreed that the only such information furnished by any Underwriter consists of the information described as such in Section </w:t>
      </w:r>
      <w:r>
        <w:rPr>
          <w:rFonts w:ascii="Times New Roman" w:hAnsi="Times New Roman" w:eastAsia="Times New Roman" w:cs="Times New Roman"/>
          <w:sz w:val="24"/>
        </w:rPr>
        <w:t>8(b)</w:t>
      </w:r>
      <w:r>
        <w:rPr>
          <w:rFonts w:ascii="Times New Roman" w:hAnsi="Times New Roman" w:eastAsia="Times New Roman" w:cs="Times New Roman"/>
          <w:sz w:val="24"/>
        </w:rPr>
        <w:t xml:space="preserve"> hereof.</w:t>
      </w:r>
    </w:p>
    <w:p>
      <w:pPr/>
      <w:r>
        <w:rPr>
          <w:rFonts w:ascii="Times New Roman" w:hAnsi="Times New Roman" w:eastAsia="Times New Roman" w:cs="Times New Roman"/>
          <w:sz w:val="24"/>
        </w:rPr>
        <w:t>Registration Statement and Prospectus.</w:t>
      </w:r>
      <w:r>
        <w:rPr>
          <w:rFonts w:ascii="Times New Roman" w:hAnsi="Times New Roman" w:eastAsia="Times New Roman" w:cs="Times New Roman"/>
          <w:sz w:val="24"/>
        </w:rPr>
        <w:t xml:space="preserve"> The Registration Statement has been declared effective by the SEC. No order suspending the effectiveness of the Registration Statement has been issued by the SEC, and, to the knowledge of the Company, after due inquiry, no proceeding for that purpose or pursuant to Section 8A of the Securities Act against the Company or related to the offering of the ADSs has been initiated or threatened by the SEC; as of the applicable effective date of the Registration Statement and any post-effective amendment thereto, the Registration </w:t>
      </w:r>
      <w:r>
        <w:rPr>
          <w:rFonts w:ascii="Times New Roman" w:hAnsi="Times New Roman" w:eastAsia="Times New Roman" w:cs="Times New Roman"/>
          <w:sz w:val="24"/>
        </w:rPr>
        <w:t xml:space="preserve">Statement and any such post-effective amendment complied and will comply in all material respects with the Securities Act, and did not and will not contain any untrue statement of a material fact or omit to state a material fact required to be stated therein or necessary in order to make the statements therein not misleading; and as of the date of the Prospectus and any amendment or supplement thereto and as of the Closing Date and as of the Additional Closing Date, as the case may be, the Prospectus will not contain any untrue statement of a material fact or omit to state a material fact necessary in order to make the statements therein, in the light of the circumstances under which they were made, not misleading; provided that the Company makes no representation and warranty with respect to any statements or omissions made in reliance upon and in conformity with information relating to any Underwriter furnished to the Company in writing by such Underwriter through the Representatives expressly for use in the Registration Statement and the Prospectus and any amendment or supplement thereto; it being understood and agreed that the only such information furnished by any Underwriter consists of the information described as such in Section </w:t>
      </w:r>
      <w:r>
        <w:rPr>
          <w:rFonts w:ascii="Times New Roman" w:hAnsi="Times New Roman" w:eastAsia="Times New Roman" w:cs="Times New Roman"/>
          <w:sz w:val="24"/>
        </w:rPr>
        <w:t>8(b)</w:t>
      </w:r>
      <w:r>
        <w:rPr>
          <w:rFonts w:ascii="Times New Roman" w:hAnsi="Times New Roman" w:eastAsia="Times New Roman" w:cs="Times New Roman"/>
          <w:sz w:val="24"/>
        </w:rPr>
        <w:t xml:space="preserve"> hereof.</w:t>
      </w:r>
    </w:p>
    <w:p>
      <w:pPr/>
      <w:r>
        <w:rPr>
          <w:rFonts w:ascii="Times New Roman" w:hAnsi="Times New Roman" w:eastAsia="Times New Roman" w:cs="Times New Roman"/>
          <w:sz w:val="24"/>
        </w:rPr>
        <w:t>ADS Registration Statement.</w:t>
      </w:r>
      <w:r>
        <w:rPr>
          <w:rFonts w:ascii="Times New Roman" w:hAnsi="Times New Roman" w:eastAsia="Times New Roman" w:cs="Times New Roman"/>
          <w:sz w:val="24"/>
        </w:rPr>
        <w:t xml:space="preserve"> A registration statement on Form F-6 (File No. [NUMBER]) has been filed with the SEC. Such registration statement has been declared effective by the SEC (such registration statement, as amended at the time it became effective, is referred herein as the “</w:t>
      </w:r>
      <w:r>
        <w:rPr>
          <w:rFonts w:ascii="Times New Roman" w:hAnsi="Times New Roman" w:eastAsia="Times New Roman" w:cs="Times New Roman"/>
          <w:sz w:val="24"/>
        </w:rPr>
        <w:t>ADS Registration Statement”</w:t>
      </w:r>
      <w:r>
        <w:rPr>
          <w:rFonts w:ascii="Times New Roman" w:hAnsi="Times New Roman" w:eastAsia="Times New Roman" w:cs="Times New Roman"/>
          <w:sz w:val="24"/>
        </w:rPr>
        <w:t>). No stop order suspending the effectiveness of the ADS Registration Statement has been issued by the SEC and, to the knowledge of the Company, after due inquiry, no proceeding for that purpose or pursuant to Section 8A of the Securities Act against the Company or related to the offering has been initiated or threatened by the SEC; as of the applicable effective date of the ADS Registration Statement and any amendment thereto, the ADS Registration Statement complied and will comply in all material respects with the applicable requirements of the Securities Act, and did not and will not contain any untrue statement of a material fact or omit to state a material fact required to be stated therein and or necessary in order to make the statements therein not misleading.</w:t>
      </w:r>
    </w:p>
    <w:p>
      <w:pPr/>
      <w:r>
        <w:rPr>
          <w:rFonts w:ascii="Times New Roman" w:hAnsi="Times New Roman" w:eastAsia="Times New Roman" w:cs="Times New Roman"/>
          <w:sz w:val="24"/>
        </w:rPr>
        <w:t>[</w:t>
      </w:r>
      <w:r>
        <w:rPr>
          <w:rFonts w:ascii="Times New Roman" w:hAnsi="Times New Roman" w:eastAsia="Times New Roman" w:cs="Times New Roman"/>
          <w:sz w:val="24"/>
        </w:rPr>
        <w:t>COMPANY’S HOME JURISDICTION</w:t>
      </w:r>
      <w:r>
        <w:rPr>
          <w:rFonts w:ascii="Times New Roman" w:hAnsi="Times New Roman" w:eastAsia="Times New Roman" w:cs="Times New Roman"/>
          <w:sz w:val="24"/>
        </w:rPr>
        <w:t>] Prospectus.</w:t>
      </w:r>
      <w:r>
        <w:rPr>
          <w:rFonts w:ascii="Times New Roman" w:hAnsi="Times New Roman" w:eastAsia="Times New Roman" w:cs="Times New Roman"/>
          <w:sz w:val="24"/>
        </w:rPr>
        <w:t xml:space="preserve"> </w:t>
      </w:r>
      <w:r>
        <w:rPr>
          <w:rFonts w:ascii="Times New Roman" w:hAnsi="Times New Roman" w:eastAsia="Times New Roman" w:cs="Times New Roman"/>
          <w:sz w:val="24"/>
        </w:rPr>
        <w:t>The Company has also prepared and delivered a [COMPANY’S HOME JURISDICTION] Prospectus in connection with the sale of the [COMPANY’S HOME JURISDICTION] Shares in [COMPANY’S HOME JURISDICTION]. The Pricing Disclosure Package contains substantially similar information as, and is materially consistent with, the [COMPANY’S HOME JURISDICTION] Prospectus, except for any differences that may arise from the inclusion of information required by the applicable laws of [COMPANY’S HOME JURISDICTION], including, without limitation, [SPECIFIED LAWS, REGULATIONS, AND RULES OF COMPANY’S HOME JURISDICTION] (collectively, the [COMPANY’S HOME JURISDICTION] Securities Rules”).</w:t>
      </w:r>
    </w:p>
    <w:p>
      <w:pPr/>
      <w:r>
        <w:rPr>
          <w:rFonts w:ascii="Times New Roman" w:hAnsi="Times New Roman" w:eastAsia="Times New Roman" w:cs="Times New Roman"/>
          <w:sz w:val="24"/>
        </w:rPr>
        <w:t>Financial Statements.</w:t>
      </w:r>
      <w:r>
        <w:rPr>
          <w:rFonts w:ascii="Times New Roman" w:hAnsi="Times New Roman" w:eastAsia="Times New Roman" w:cs="Times New Roman"/>
          <w:sz w:val="24"/>
        </w:rPr>
        <w:t xml:space="preserve"> The consolidated combined financial statements (including the related notes thereto) of the Company and its consolidated combined subsidiaries included in the Registration Statement, the Pricing Disclosure Package and the Prospectus comply in all material respects with the applicable requirements of the Securities Act and present fairly, in all material respects, the financial position of the Company and its consolidated subsidiaries as of the dates indicated and the results of their operations and the changes in their cash flows for the periods specified; such </w:t>
      </w:r>
      <w:r>
        <w:rPr>
          <w:rFonts w:ascii="Times New Roman" w:hAnsi="Times New Roman" w:eastAsia="Times New Roman" w:cs="Times New Roman"/>
          <w:sz w:val="24"/>
        </w:rPr>
        <w:t>financial statements have been prepared in conformity with International Financial Reporting Standards (“IFRS”) applied on a consistent basis throughout the periods covered thereby, and any supporting schedules included in the Registration Statement present fairly the information required to be stated therein; and the other financial information included in the Registration Statement, the Pricing Disclosure Package and the Prospectus has been derived from the accounting records of the Company and its consolidated and combined subsidiaries and presents fairly the information shown thereby.</w:t>
      </w:r>
    </w:p>
    <w:p>
      <w:pPr/>
      <w:r>
        <w:rPr>
          <w:rFonts w:ascii="Times New Roman" w:hAnsi="Times New Roman" w:eastAsia="Times New Roman" w:cs="Times New Roman"/>
          <w:sz w:val="24"/>
        </w:rPr>
        <w:t>No Material Adverse Change.</w:t>
      </w:r>
      <w:r>
        <w:rPr>
          <w:rFonts w:ascii="Times New Roman" w:hAnsi="Times New Roman" w:eastAsia="Times New Roman" w:cs="Times New Roman"/>
          <w:sz w:val="24"/>
        </w:rPr>
        <w:t xml:space="preserve"> Since the date of the most recent consolidated combined financial statements of the Company included in the Registration Statement, the Pricing Disclosure Package and the Prospectus, (i) there has not been any change in the capital stock[(except for the issuance of new Shares by the Company)], material adverse change in short-term debt or long-term debt of the Company or any of its subsidiaries, or any dividend or distribution of any kind declared, set aside for payment, paid or made by the Company on any class of capital stock, or any material adverse change, or any development involving a prospective material adverse change, in or affecting the business, properties, management, financial position, shareholders’ equity, results of operations or prospects of the Company and its subsidiaries taken as a whole; (ii) neither the Company nor any of its subsidiaries has entered into any transaction or agreement (whether or not in the ordinary course of business) that is material to the Company and its subsidiaries taken as a whole or incurred any liability or obligation, direct or contingent, that is material to the Company and its subsidiaries taken as a whole; and (iii) neither the Company nor any of its subsidiaries has sustained any loss or interference with its business that is material to the Company and its subsidiaries taken as a whole and that is either from fire, explosion, flood or other calamity, whether or not covered by insurance, or from any labor disturbance or dispute or any action, order or decree of any court or arbitrator or governmental or regulatory authority[, except in each case as otherwise disclosed in the Registration Statement, the Pricing Disclosure Package and the Prospectus].</w:t>
      </w:r>
    </w:p>
    <w:p>
      <w:pPr/>
      <w:r>
        <w:rPr>
          <w:rFonts w:ascii="Times New Roman" w:hAnsi="Times New Roman" w:eastAsia="Times New Roman" w:cs="Times New Roman"/>
          <w:sz w:val="24"/>
        </w:rPr>
        <w:t>Organization and Good Standing.</w:t>
      </w:r>
      <w:r>
        <w:rPr>
          <w:rFonts w:ascii="Times New Roman" w:hAnsi="Times New Roman" w:eastAsia="Times New Roman" w:cs="Times New Roman"/>
          <w:sz w:val="24"/>
        </w:rPr>
        <w:t xml:space="preserve"> The Company and each of its subsidiaries have been duly organized and are validly existing and in good standing (to the extent applicable) under their respective jurisdiction of organization, are duly qualified to do business and are in good standing (to the extent applicable) in each jurisdiction in which their respective ownership or lease of property or the conduct of their respective businesses requires such qualification, and have all power and authority necessary to own or hold their respective properties and to conduct the businesses in which they are engaged, except where the failure to be so qualified or in good standing or have such power or authority would not, individually or in the aggregate, have a material adverse effect on the business, properties, management, financial position, shareholders’ equity or results of operations or prospects of the Company and its subsidiaries taken as a whole or on the performance by the Company of its obligations under the Transaction Documents (as defined below) (a “</w:t>
      </w:r>
      <w:r>
        <w:rPr>
          <w:rFonts w:ascii="Times New Roman" w:hAnsi="Times New Roman" w:eastAsia="Times New Roman" w:cs="Times New Roman"/>
          <w:sz w:val="24"/>
        </w:rPr>
        <w:t>Material Adverse Effect</w:t>
      </w:r>
      <w:r>
        <w:rPr>
          <w:rFonts w:ascii="Times New Roman" w:hAnsi="Times New Roman" w:eastAsia="Times New Roman" w:cs="Times New Roman"/>
          <w:sz w:val="24"/>
        </w:rPr>
        <w:t>”). The Company does not own or control, directly or indirectly, any corporation, association or other entity other than the subsidiaries listed in Exhibit 21 to the Registration Statement. The subsidiaries listed in Schedule 3 to this Agreement are the only significant subsidiaries of the Company.</w:t>
      </w:r>
    </w:p>
    <w:p>
      <w:pPr/>
      <w:r>
        <w:rPr>
          <w:rFonts w:ascii="Times New Roman" w:hAnsi="Times New Roman" w:eastAsia="Times New Roman" w:cs="Times New Roman"/>
          <w:sz w:val="24"/>
        </w:rPr>
        <w:t>Capitalization.</w:t>
      </w:r>
      <w:r>
        <w:rPr>
          <w:rFonts w:ascii="Times New Roman" w:hAnsi="Times New Roman" w:eastAsia="Times New Roman" w:cs="Times New Roman"/>
          <w:sz w:val="24"/>
        </w:rPr>
        <w:t xml:space="preserve"> The Company has an authorized capitalization as set forth in the Registration Statement, the Pricing Disclosure Package and the Prospectus under the heading “Capitalization”; all the outstanding shares of capital stock of the Company (including the Shares to be sold by the Selling Shareholders) have been duly and validly authorized and issued and are fully paid and non-assessable and are not subject to any pre-emptive or similar right[ (other than those rights which have been validly and irrevocably waived by the Selling Shareholders)]; and except as described in or expressly contemplated by the Pricing Disclosure Package and the Prospectus, there are no other outstanding rights (including, without limitation, pre-emptive rights), warrants or options to acquire, or instruments convertible into or exchangeable for, any shares of capital stock or other equity interest in the Company or any of its subsidiaries, or any contract, commitment, agreement, understanding or arrangement of any kind relating to the issuance of any capital stock of the Company or any such subsidiary, any such convertible or exchangeable securities or any such rights, warrants or options; the capital stock of the Company conforms in all material respects to the description thereof contained in the Registration Statement, the Pricing Disclosure Package and the Prospectus; and all the outstanding shares of capital stock or other equity interests of each subsidiary owned, directly or indirectly, by the Company have been duly and validly authorized and issued, are fully paid and non-assessable and are owned directly or indirectly by the Company, free and clear of any lien, charge, encumbrance, security interest, restriction on voting or transfer or any other claim of any third party.</w:t>
      </w:r>
    </w:p>
    <w:p>
      <w:pPr/>
      <w:r>
        <w:rPr>
          <w:rFonts w:ascii="Times New Roman" w:hAnsi="Times New Roman" w:eastAsia="Times New Roman" w:cs="Times New Roman"/>
          <w:sz w:val="24"/>
        </w:rPr>
        <w:t>Due Authorization.</w:t>
      </w:r>
      <w:r>
        <w:rPr>
          <w:rFonts w:ascii="Times New Roman" w:hAnsi="Times New Roman" w:eastAsia="Times New Roman" w:cs="Times New Roman"/>
          <w:sz w:val="24"/>
        </w:rPr>
        <w:t xml:space="preserve"> The Company has full right, power and authority to execute and deliver this Agreement and the Deposit Agreement (collectively, the “Transaction Documents”) and to perform its obligations hereunder and thereunder; and all actions required to be taken for the due and proper authorization, execution and delivery by it of this Agreement and each of the Transaction Documents and the consummation by it of the transactions contemplated hereby and thereby have been duly and validly taken.</w:t>
      </w:r>
    </w:p>
    <w:p>
      <w:pPr/>
      <w:r>
        <w:rPr>
          <w:rFonts w:ascii="Times New Roman" w:hAnsi="Times New Roman" w:eastAsia="Times New Roman" w:cs="Times New Roman"/>
          <w:sz w:val="24"/>
        </w:rPr>
        <w:t>Underwriting Agreement.</w:t>
      </w:r>
      <w:r>
        <w:rPr>
          <w:rFonts w:ascii="Times New Roman" w:hAnsi="Times New Roman" w:eastAsia="Times New Roman" w:cs="Times New Roman"/>
          <w:sz w:val="24"/>
        </w:rPr>
        <w:t xml:space="preserve"> This Agreement has been duly authorized, executed and delivered by the Company.</w:t>
      </w:r>
    </w:p>
    <w:p>
      <w:pPr/>
      <w:r>
        <w:rPr>
          <w:rFonts w:ascii="Times New Roman" w:hAnsi="Times New Roman" w:eastAsia="Times New Roman" w:cs="Times New Roman"/>
          <w:sz w:val="24"/>
        </w:rPr>
        <w:t>Deposit Agreement.</w:t>
      </w:r>
      <w:r>
        <w:rPr>
          <w:rFonts w:ascii="Times New Roman" w:hAnsi="Times New Roman" w:eastAsia="Times New Roman" w:cs="Times New Roman"/>
          <w:sz w:val="24"/>
        </w:rPr>
        <w:t xml:space="preserve"> The Deposit Agreement has been duly authorized, executed and delivered by the Company and constitutes a valid and legally binding agreement of the Company enforceable against the Company in accordance with its terms, except as enforceability may be limited by applicable bankruptcy, insolvency or similar laws affecting creditors’ rights generally or by equitable principles relating to enforceability.</w:t>
      </w:r>
    </w:p>
    <w:p>
      <w:pPr/>
      <w:r>
        <w:rPr>
          <w:rFonts w:ascii="Times New Roman" w:hAnsi="Times New Roman" w:eastAsia="Times New Roman" w:cs="Times New Roman"/>
          <w:sz w:val="24"/>
        </w:rPr>
        <w:t>The Underlying Shares.</w:t>
      </w:r>
      <w:r>
        <w:rPr>
          <w:rFonts w:ascii="Times New Roman" w:hAnsi="Times New Roman" w:eastAsia="Times New Roman" w:cs="Times New Roman"/>
          <w:sz w:val="24"/>
        </w:rPr>
        <w:t xml:space="preserve"> The Underlying Shares to be issued and sold by the Company hereunder have been duly authorized by the Company and, when issued, delivered and paid for as provided herein, will be duly and validly issued, will be fully paid and non-assessable and will conform to the descriptions thereof in the Registration Statement, the Pricing Disclosure Package and the Prospectus;[ and the Underlying Shares to be sold by the Selling Shareholders have been fully paid and are non-assessable and conform to the descriptions thereof in the Registration Statement, the Pricing Disclosure Package and the Prospectus,] and all of the current shareholders of the Company have waived their preemptive rights with respect to the Underlying </w:t>
      </w:r>
      <w:r>
        <w:rPr>
          <w:rFonts w:ascii="Times New Roman" w:hAnsi="Times New Roman" w:eastAsia="Times New Roman" w:cs="Times New Roman"/>
          <w:sz w:val="24"/>
        </w:rPr>
        <w:t>Shares and none of the outstanding Underlying Shares have been issued in violation of any preemptive, accretion or similar rights of any security holder.</w:t>
      </w:r>
    </w:p>
    <w:p>
      <w:pPr/>
      <w:r>
        <w:rPr>
          <w:rFonts w:ascii="Times New Roman" w:hAnsi="Times New Roman" w:eastAsia="Times New Roman" w:cs="Times New Roman"/>
          <w:sz w:val="24"/>
        </w:rPr>
        <w:t>The ADSs.</w:t>
      </w:r>
      <w:r>
        <w:rPr>
          <w:rFonts w:ascii="Times New Roman" w:hAnsi="Times New Roman" w:eastAsia="Times New Roman" w:cs="Times New Roman"/>
          <w:sz w:val="24"/>
        </w:rPr>
        <w:t xml:space="preserve"> The Underlying Shares to be issued and sold by the Company hereunder may be freely deposited by the Company with the Depositary by book entry transfer at [BANK] or otherwise in accordance with applicable law. Upon the due issuance by the Depositary of ADRs evidencing ADSs, such ADRs will be duly and validly issued under the Deposit Agreement and persons in whose names such ADRs are registered will be entitled to the rights of registered holders of ADRs specified therein and in the Deposit Agreement; and the Deposit Agreement and the ADSs will conform in all material respects to the description thereof contained in the Registration Statement, the Pricing Disclosure Package and the Prospectus.</w:t>
      </w:r>
    </w:p>
    <w:p>
      <w:pPr/>
      <w:r>
        <w:rPr>
          <w:rFonts w:ascii="Times New Roman" w:hAnsi="Times New Roman" w:eastAsia="Times New Roman" w:cs="Times New Roman"/>
          <w:sz w:val="24"/>
        </w:rPr>
        <w:t>Descriptions of the Transaction Documents.</w:t>
      </w:r>
      <w:r>
        <w:rPr>
          <w:rFonts w:ascii="Times New Roman" w:hAnsi="Times New Roman" w:eastAsia="Times New Roman" w:cs="Times New Roman"/>
          <w:sz w:val="24"/>
        </w:rPr>
        <w:t xml:space="preserve"> Each Transaction Document conforms in all material respects to the description thereof contained in the Registration Statement, the Pricing Disclosure Package and the Prospectus.</w:t>
      </w:r>
    </w:p>
    <w:p>
      <w:pPr/>
      <w:r>
        <w:rPr>
          <w:rFonts w:ascii="Times New Roman" w:hAnsi="Times New Roman" w:eastAsia="Times New Roman" w:cs="Times New Roman"/>
          <w:sz w:val="24"/>
        </w:rPr>
        <w:t>No Violation or Default.</w:t>
      </w:r>
      <w:r>
        <w:rPr>
          <w:rFonts w:ascii="Times New Roman" w:hAnsi="Times New Roman" w:eastAsia="Times New Roman" w:cs="Times New Roman"/>
          <w:sz w:val="24"/>
        </w:rPr>
        <w:t xml:space="preserve"> Neither the Company nor any of its subsidiaries is (i) in violation of its charter or by-laws or similar organizational documents; (ii) in default, and no event has occurred that, with notice or lapse of time or both, would constitute such a default, in the due performance or observance of any term, covenant or condition contained in any indenture, mortgage, deed of trust, loan agreement or other agreement or instrument to which the Company or any of its subsidiaries is a party or by which the Company or any of its subsidiaries is bound or to which any property or assets of the Company or any of its subsidiaries is subject; or (iii) in violation of any law or statute or any judgment, order, rule or regulation of any court or arbitrator or governmental or regulatory authority, except, in the case of clauses (ii) and (iii) above, for any such default or violation that would not, individually or in the aggregate, have a Material Adverse Effect.</w:t>
      </w:r>
    </w:p>
    <w:p>
      <w:pPr/>
      <w:r>
        <w:rPr>
          <w:rFonts w:ascii="Times New Roman" w:hAnsi="Times New Roman" w:eastAsia="Times New Roman" w:cs="Times New Roman"/>
          <w:sz w:val="24"/>
        </w:rPr>
        <w:t>No Conflicts.</w:t>
      </w:r>
      <w:r>
        <w:rPr>
          <w:rFonts w:ascii="Times New Roman" w:hAnsi="Times New Roman" w:eastAsia="Times New Roman" w:cs="Times New Roman"/>
          <w:sz w:val="24"/>
        </w:rPr>
        <w:t xml:space="preserve"> The execution, delivery and performance by the Company of each of the Transaction Documents, the issuance and sale of the ADSs by the Company and the consummation by the Company of the transactions contemplated by the Transaction Documents will not (i) conflict with or result in a breach or violation of any of the terms or provisions of, or constitute a default under, result in the termination, modification or acceleration of or result in the creation or imposition of any lien, charge or encumbrance upon any property, right or assets of the Company or any of its subsidiaries pursuant to, any indenture, mortgage, deed of trust, loan agreement or other agreement or instrument to which the Company or any of its subsidiaries is a party or by which the Company or any of its subsidiaries is bound or to which any property, right or asset of the Company or any of its subsidiaries is subject, (ii) result in any violation of the provisions of the charter or by-laws or similar organizational documents of the Company or any of its subsidiaries or (iii) result in the violation of any law or statute or any judgment, order, rule or regulation of any court or arbitrator or governmental or regulatory authority, except in the case of clause (i) and (iii) above, for any such conflict, breach, violation, default, lien, charge or encumbrance that would not, individually or in the aggregate, have a Material Adverse Effect.</w:t>
      </w:r>
    </w:p>
    <w:p>
      <w:pPr/>
      <w:r>
        <w:rPr>
          <w:rFonts w:ascii="Times New Roman" w:hAnsi="Times New Roman" w:eastAsia="Times New Roman" w:cs="Times New Roman"/>
          <w:sz w:val="24"/>
        </w:rPr>
        <w:t>No Consents Required.</w:t>
      </w:r>
      <w:r>
        <w:rPr>
          <w:rFonts w:ascii="Times New Roman" w:hAnsi="Times New Roman" w:eastAsia="Times New Roman" w:cs="Times New Roman"/>
          <w:sz w:val="24"/>
        </w:rPr>
        <w:t xml:space="preserve"> No consent, approval, authorization, order, license, registration or qualification of or with any court or arbitrator or governmental or regulatory authority is required for the execution, delivery and performance by the Company of each of the Transaction Documents, the issuance and sale of the ADSs and the consummation of the transactions contemplated by the Transaction Documents, except (i) for the registration of the Underlying Shares and ADSs under the Securities Act and such consents, approvals, authorizations, orders and registrations or qualifications as may be required by the Financial Industry Regulatory Authority, Inc. (“</w:t>
      </w:r>
      <w:r>
        <w:rPr>
          <w:rFonts w:ascii="Times New Roman" w:hAnsi="Times New Roman" w:eastAsia="Times New Roman" w:cs="Times New Roman"/>
          <w:sz w:val="24"/>
        </w:rPr>
        <w:t>FINRA</w:t>
      </w:r>
      <w:r>
        <w:rPr>
          <w:rFonts w:ascii="Times New Roman" w:hAnsi="Times New Roman" w:eastAsia="Times New Roman" w:cs="Times New Roman"/>
          <w:sz w:val="24"/>
        </w:rPr>
        <w:t>”) and under applicable state securities laws in connection with the purchase and distribution of the ADSs by the Underwriters, and (ii) as may be required and will have been obtained from the [AUTHORITIES IN COMPANY’S HOME JURISDICTION] for the offering, listing and trading, as applicable, of the Shares in [COMPANY’s HOME JURISDICTION].</w:t>
      </w:r>
    </w:p>
    <w:p>
      <w:pPr/>
      <w:r>
        <w:rPr>
          <w:rFonts w:ascii="Times New Roman" w:hAnsi="Times New Roman" w:eastAsia="Times New Roman" w:cs="Times New Roman"/>
          <w:sz w:val="24"/>
        </w:rPr>
        <w:t>Legal Proceedings.</w:t>
      </w:r>
      <w:r>
        <w:rPr>
          <w:rFonts w:ascii="Times New Roman" w:hAnsi="Times New Roman" w:eastAsia="Times New Roman" w:cs="Times New Roman"/>
          <w:sz w:val="24"/>
        </w:rPr>
        <w:t xml:space="preserve"> [Except as described in the Registration Statement, the Pricing Disclosure Package and the Prospectus, ][T/t]here are no legal, governmental or regulatory investigations, actions, demands, claims, suits, arbitrations, inquires or proceedings (“</w:t>
      </w:r>
      <w:r>
        <w:rPr>
          <w:rFonts w:ascii="Times New Roman" w:hAnsi="Times New Roman" w:eastAsia="Times New Roman" w:cs="Times New Roman"/>
          <w:sz w:val="24"/>
        </w:rPr>
        <w:t>Actions</w:t>
      </w:r>
      <w:r>
        <w:rPr>
          <w:rFonts w:ascii="Times New Roman" w:hAnsi="Times New Roman" w:eastAsia="Times New Roman" w:cs="Times New Roman"/>
          <w:sz w:val="24"/>
        </w:rPr>
        <w:t>”) pending to which the Company or any of its subsidiaries is or may be a party or to which any property of the Company or any of its subsidiaries is or may be the subject that, individually or in the aggregate, if determined adversely to the Company or any of its subsidiaries, could reasonably be expected to have a Material Adverse Effect; no such Actions are threatened or, to the knowledge of the Company, contemplated by any governmental or regulatory authority or threatened by others; and (i) there are no current or pending Actions that are required under the Securities Act to be described in the Registration Statement, the Pricing Disclosure Package or the Prospectus that are not so described in the Registration Statement, the Pricing Disclosure Package and the Prospectus and (ii) there are no statutes, regulations or contracts or other documents that are required under the Securities Act to be filed as exhibits to the Registration Statement or described in the Registration Statement, the Pricing Disclosure Package or the Prospectus that are not so filed as exhibits to the Registration Statement or described in the Registration Statement, the Pricing Disclosure Package and the Prospectus.</w:t>
      </w:r>
    </w:p>
    <w:p>
      <w:pPr/>
      <w:r>
        <w:rPr>
          <w:rFonts w:ascii="Times New Roman" w:hAnsi="Times New Roman" w:eastAsia="Times New Roman" w:cs="Times New Roman"/>
          <w:sz w:val="24"/>
        </w:rPr>
        <w:t>Independent Auditors.</w:t>
      </w:r>
      <w:r>
        <w:rPr>
          <w:rFonts w:ascii="Times New Roman" w:hAnsi="Times New Roman" w:eastAsia="Times New Roman" w:cs="Times New Roman"/>
          <w:sz w:val="24"/>
        </w:rPr>
        <w:t xml:space="preserve"> [AUDITOR], who have audited the audited consolidated combined financial statements of the Company and its subsidiaries, is an independent registered public accounting firm with respect to the Company and its subsidiaries within the applicable rules and regulations adopted by the SEC and the Public Company Accounting Oversight Board (United States) and as required by the Securities Act.</w:t>
      </w:r>
    </w:p>
    <w:p>
      <w:pPr/>
      <w:r>
        <w:rPr>
          <w:rFonts w:ascii="Times New Roman" w:hAnsi="Times New Roman" w:eastAsia="Times New Roman" w:cs="Times New Roman"/>
          <w:sz w:val="24"/>
        </w:rPr>
        <w:t>Title to Real and Personal Property.</w:t>
      </w:r>
      <w:r>
        <w:rPr>
          <w:rFonts w:ascii="Times New Roman" w:hAnsi="Times New Roman" w:eastAsia="Times New Roman" w:cs="Times New Roman"/>
          <w:sz w:val="24"/>
        </w:rPr>
        <w:t xml:space="preserve"> The Company and its subsidiaries have good and marketable title in fee simple to, or have valid rights to lease or otherwise use, all items of real and personal property that are material to the respective businesses of the Company and its subsidiaries, in each case free and clear of all liens, encumbrances, claims and defects and imperfections of title except those that (i) do not materially interfere with the use made and proposed to be made of such property by the Company and its subsidiaries or (ii) could not reasonably be expected, individually or in the aggregate, to have a Material Adverse Effect.</w:t>
      </w:r>
    </w:p>
    <w:p>
      <w:pPr/>
      <w:r>
        <w:rPr>
          <w:rFonts w:ascii="Times New Roman" w:hAnsi="Times New Roman" w:eastAsia="Times New Roman" w:cs="Times New Roman"/>
          <w:sz w:val="24"/>
        </w:rPr>
        <w:t>Title to Intellectual Property.</w:t>
      </w:r>
      <w:r>
        <w:rPr>
          <w:rFonts w:ascii="Times New Roman" w:hAnsi="Times New Roman" w:eastAsia="Times New Roman" w:cs="Times New Roman"/>
          <w:sz w:val="24"/>
        </w:rPr>
        <w:t xml:space="preserve"> (i) the Company and its subsidiaries own or have an adequate right to use all patents, patent applications, trademarks, service marks, trade names, trademark registrations, service mark registrations, domain names and other source indicators, copyrights and copyrightable works, know-how, trade secrets, systems, procedures, proprietary or confidential information and all other worldwide intellectual property, industrial property and proprietary rights (collectively, “</w:t>
      </w:r>
      <w:r>
        <w:rPr>
          <w:rFonts w:ascii="Times New Roman" w:hAnsi="Times New Roman" w:eastAsia="Times New Roman" w:cs="Times New Roman"/>
          <w:sz w:val="24"/>
        </w:rPr>
        <w:t>Intellectual Property</w:t>
      </w:r>
      <w:r>
        <w:rPr>
          <w:rFonts w:ascii="Times New Roman" w:hAnsi="Times New Roman" w:eastAsia="Times New Roman" w:cs="Times New Roman"/>
          <w:sz w:val="24"/>
        </w:rPr>
        <w:t>”) used in the conduct of their respective businesses; (ii) the Company’s and its subsidiaries’ conduct of their respective businesses does not infringe, misappropriate or otherwise violate any Intellectual Property of any person except as would not, individually or in the aggregate, have a Material Adverse Effect; (iii) the Company and its subsidiaries have not received any written notice of any claim relating to Intellectual Property except as would not, individually or in the aggregate, have a Material Adverse Effect; and (iv) to the knowledge of the Company, the Intellectual Property of the Company is not being infringed, misappropriated or otherwise violated by any person.</w:t>
      </w:r>
    </w:p>
    <w:p>
      <w:pPr/>
      <w:r>
        <w:rPr>
          <w:rFonts w:ascii="Times New Roman" w:hAnsi="Times New Roman" w:eastAsia="Times New Roman" w:cs="Times New Roman"/>
          <w:sz w:val="24"/>
        </w:rPr>
        <w:t>No Undisclosed Relationships.</w:t>
      </w:r>
      <w:r>
        <w:rPr>
          <w:rFonts w:ascii="Times New Roman" w:hAnsi="Times New Roman" w:eastAsia="Times New Roman" w:cs="Times New Roman"/>
          <w:sz w:val="24"/>
        </w:rPr>
        <w:t xml:space="preserve"> No relationship, direct or indirect, exists between or among the Company or any of its subsidiaries, on the one hand, and the directors, officers, shareholder, customers, suppliers or other affiliates of the Company or any of its subsidiaries, on the other, that is required by the Securities Act to be described in each of the Registration Statement and the Prospectus and that is not so described in such documents and in the Pricing Disclosure Package.</w:t>
      </w:r>
    </w:p>
    <w:p>
      <w:pPr/>
      <w:r>
        <w:rPr>
          <w:rFonts w:ascii="Times New Roman" w:hAnsi="Times New Roman" w:eastAsia="Times New Roman" w:cs="Times New Roman"/>
          <w:sz w:val="24"/>
        </w:rPr>
        <w:t xml:space="preserve">Investment Company Act. </w:t>
      </w:r>
      <w:r>
        <w:rPr>
          <w:rFonts w:ascii="Times New Roman" w:hAnsi="Times New Roman" w:eastAsia="Times New Roman" w:cs="Times New Roman"/>
          <w:sz w:val="24"/>
        </w:rPr>
        <w:t>The Company is not and, after giving effect to the offering and sale of the ADSs and the application of the proceeds thereof received by the Company as described in the Registration Statement, the Pricing Disclosure Package and the Prospectus, will not be required to register as an “investment company” or an entity “controlled” by an “investment company” within the meaning of the U.S. Investment Company Act of 1940, as amended, and the rules and regulations of the SEC thereunder (collectively, the “</w:t>
      </w:r>
      <w:r>
        <w:rPr>
          <w:rFonts w:ascii="Times New Roman" w:hAnsi="Times New Roman" w:eastAsia="Times New Roman" w:cs="Times New Roman"/>
          <w:sz w:val="24"/>
        </w:rPr>
        <w:t>Investment Company Act</w:t>
      </w:r>
      <w:r>
        <w:rPr>
          <w:rFonts w:ascii="Times New Roman" w:hAnsi="Times New Roman" w:eastAsia="Times New Roman" w:cs="Times New Roman"/>
          <w:sz w:val="24"/>
        </w:rPr>
        <w:t>”).</w:t>
      </w:r>
    </w:p>
    <w:p>
      <w:pPr/>
      <w:r>
        <w:rPr>
          <w:rFonts w:ascii="Times New Roman" w:hAnsi="Times New Roman" w:eastAsia="Times New Roman" w:cs="Times New Roman"/>
          <w:sz w:val="24"/>
        </w:rPr>
        <w:t>Taxes.</w:t>
      </w:r>
      <w:r>
        <w:rPr>
          <w:rFonts w:ascii="Times New Roman" w:hAnsi="Times New Roman" w:eastAsia="Times New Roman" w:cs="Times New Roman"/>
          <w:sz w:val="24"/>
        </w:rPr>
        <w:t xml:space="preserve"> The Company and its subsidiaries have paid all federal, provincial, local and foreign taxes and filed all tax returns required to be paid or filed through the date hereof; and except as otherwise disclosed in each of the Registration Statement, the Pricing Disclosure Package and the Prospectus, there is no tax deficiency that has been, or could reasonably be expected to be, asserted against the Company or any of its subsidiaries or any of their respective properties, assets or businesses, except for any tax deficiency that is currently being contested in good faith and for which the Company or any of its subsidiaries has taken appropriate reserves as required by IFRS or as could not reasonably be expected to have a Material Adverse Effect.</w:t>
      </w:r>
    </w:p>
    <w:p>
      <w:pPr/>
      <w:r>
        <w:rPr>
          <w:rFonts w:ascii="Times New Roman" w:hAnsi="Times New Roman" w:eastAsia="Times New Roman" w:cs="Times New Roman"/>
          <w:sz w:val="24"/>
        </w:rPr>
        <w:t>Licenses and Permits.</w:t>
      </w:r>
      <w:r>
        <w:rPr>
          <w:rFonts w:ascii="Times New Roman" w:hAnsi="Times New Roman" w:eastAsia="Times New Roman" w:cs="Times New Roman"/>
          <w:sz w:val="24"/>
        </w:rPr>
        <w:t xml:space="preserve"> The Company and its subsidiaries possess all licenses, sub-licenses, certificates, permits and other authorizations issued by, and have made all declarations and filings with, the appropriate federal, provincial, local or foreign governmental or regulatory authorities that are necessary for the ownership or lease of their respective properties or the conduct of their respective businesses as described in each of the Registration Statement, the Pricing Disclosure Package and the Prospectus, except where the failure to possess or make the same would not, individually or in the aggregate, have a Material Adverse Effect; and except as described in each of the </w:t>
      </w:r>
      <w:r>
        <w:rPr>
          <w:rFonts w:ascii="Times New Roman" w:hAnsi="Times New Roman" w:eastAsia="Times New Roman" w:cs="Times New Roman"/>
          <w:sz w:val="24"/>
        </w:rPr>
        <w:t>Registration Statement, the Pricing Disclosure Package and the Prospectus, neither the Company nor any of its subsidiaries has received notice of any revocation or modification of any such license, sub-license, certificate, permit or authorization or has any reason to believe that any such license, sub-license, certificate, permit or authorization will not be renewed in the ordinary course, except where such revocation, modification or non-renewal would not individually or in the aggregate have a Material Adverse Effect.</w:t>
      </w:r>
    </w:p>
    <w:p>
      <w:pPr/>
      <w:r>
        <w:rPr>
          <w:rFonts w:ascii="Times New Roman" w:hAnsi="Times New Roman" w:eastAsia="Times New Roman" w:cs="Times New Roman"/>
          <w:sz w:val="24"/>
        </w:rPr>
        <w:t>No Labor Disputes.</w:t>
      </w:r>
      <w:r>
        <w:rPr>
          <w:rFonts w:ascii="Times New Roman" w:hAnsi="Times New Roman" w:eastAsia="Times New Roman" w:cs="Times New Roman"/>
          <w:sz w:val="24"/>
        </w:rPr>
        <w:t xml:space="preserve"> No labor disturbance by or dispute with employees of the Company or any of its subsidiaries exists or, to the knowledge of the Company, is contemplated or threatened, and the Company is not aware of any existing or imminent labor disturbance by, or dispute with, the employees of any of its or its subsidiaries’ principal suppliers, contractors or customers, except as would not have a Material Adverse Effect.</w:t>
      </w:r>
    </w:p>
    <w:p>
      <w:pPr/>
      <w:r>
        <w:rPr>
          <w:rFonts w:ascii="Times New Roman" w:hAnsi="Times New Roman" w:eastAsia="Times New Roman" w:cs="Times New Roman"/>
          <w:sz w:val="24"/>
        </w:rPr>
        <w:t>Certain Environmental Matters.</w:t>
      </w:r>
      <w:r>
        <w:rPr>
          <w:rFonts w:ascii="Times New Roman" w:hAnsi="Times New Roman" w:eastAsia="Times New Roman" w:cs="Times New Roman"/>
          <w:sz w:val="24"/>
        </w:rPr>
        <w:t xml:space="preserve"> (i) The Company and its subsidiaries (x) are in compliance with all, and have not violated any applicable federal, provincial, local and foreign laws (including common law), rules, regulations or other legally binding requirements of government or regulatory authorities relating to pollution or the protection of human health or safety, the environment, natural resources hazardous or toxic substances or wastes, pollutants or contaminants (collectively, “</w:t>
      </w:r>
      <w:r>
        <w:rPr>
          <w:rFonts w:ascii="Times New Roman" w:hAnsi="Times New Roman" w:eastAsia="Times New Roman" w:cs="Times New Roman"/>
          <w:sz w:val="24"/>
        </w:rPr>
        <w:t>Environmental Laws</w:t>
      </w:r>
      <w:r>
        <w:rPr>
          <w:rFonts w:ascii="Times New Roman" w:hAnsi="Times New Roman" w:eastAsia="Times New Roman" w:cs="Times New Roman"/>
          <w:sz w:val="24"/>
        </w:rPr>
        <w:t>”), (y) have received and are in compliance with, and have not violated any, permits, licenses, certificates or other authorizations or approvals required of them under any Environmental Laws to conduct their respective businesses; and (z) have not received notice of any actual or potential liability or obligation under or relating to, or any actual or potential violation of, any Environmental Laws, including for the investigation or remediation of any disposal or release of hazardous or toxic substances or wastes, pollutants or contaminants, and have no knowledge of any threatened such notice, except in the case of each of (x), (y) and (z) above, for any such matter described in the Registration Statement, Pricing Disclosure Package and the Prospectus or as would not, individually or in the aggregate, have a Material Adverse Effect; and (iii) except as described in each of the Registration Statement, Pricing Disclosure Package and the Prospectus, (x) there is no proceeding that is pending, or that is known to be contemplated, against the Company or any of its subsidiaries under any Environmental Laws in which a governmental entity is also a party, other than such proceedings regarding which it is reasonably believed no monetary sanctions of US$[100,000] or more will be imposed, (y) the Company is not aware of any environmental contamination that would reasonably be expected to result in liabilities under Environmental Laws that would, individually or in the aggregate, have a Material Adverse Effect, and (z) none of the Company or its subsidiaries anticipates material capital expenditures relating to any Environmental Laws in the next year have a Material Adverse Effect.</w:t>
      </w:r>
    </w:p>
    <w:p>
      <w:pPr/>
      <w:r>
        <w:rPr>
          <w:rFonts w:ascii="Times New Roman" w:hAnsi="Times New Roman" w:eastAsia="Times New Roman" w:cs="Times New Roman"/>
          <w:sz w:val="24"/>
        </w:rPr>
        <w:t>Accounting Controls.</w:t>
      </w:r>
      <w:r>
        <w:rPr>
          <w:rFonts w:ascii="Times New Roman" w:hAnsi="Times New Roman" w:eastAsia="Times New Roman" w:cs="Times New Roman"/>
          <w:sz w:val="24"/>
        </w:rPr>
        <w:t xml:space="preserve"> The Company and its subsidiaries maintain systems of internal accounting controls sufficient to provide reasonable assurance regarding the reliability of financial reporting and the preparation of financial statements for external purposes in accordance with IFRS. The Company and its subsidiaries maintain internal accounting controls sufficient to provide reasonable assurance that (i) transactions are </w:t>
      </w:r>
      <w:r>
        <w:rPr>
          <w:rFonts w:ascii="Times New Roman" w:hAnsi="Times New Roman" w:eastAsia="Times New Roman" w:cs="Times New Roman"/>
          <w:sz w:val="24"/>
        </w:rPr>
        <w:t>executed in accordance with management’s general or specific authorizations; (ii) transactions are recorded as necessary to permit preparation of financial statements in conformity with IFRS; (iii) access to assets is permitted only in accordance with management’s general or specific authorization; and (iv) the recorded accountability for assets is compared with the existing assets at reasonable intervals and appropriate action is taken with respect to any differences. Based on the Company’s most recent evaluation of its internal controls over financial reporting pursuant to Rule 13a and 15(c) of the Exchange Act, except as disclosed in the Registration Statement, the Pricing Disclosure Package and the Prospectus, there are no material weaknesses in the Company’s internal controls. The Company’s auditors and the Board of Directors of the Company have been advised of: (i) all significant deficiencies and material weaknesses in the design or operation of internal controls over financial reporting which have adversely affected or are reasonably likely to adversely affect the Company’s ability to record, process, summarize and report financial information; and (ii) any fraud, whether or not material, that involves management or other employees who have a significant role in the Company’s internal controls over financial reporting.</w:t>
      </w:r>
    </w:p>
    <w:p>
      <w:pPr/>
      <w:r>
        <w:rPr>
          <w:rFonts w:ascii="Times New Roman" w:hAnsi="Times New Roman" w:eastAsia="Times New Roman" w:cs="Times New Roman"/>
          <w:sz w:val="24"/>
        </w:rPr>
        <w:t>Insurance.</w:t>
      </w:r>
      <w:r>
        <w:rPr>
          <w:rFonts w:ascii="Times New Roman" w:hAnsi="Times New Roman" w:eastAsia="Times New Roman" w:cs="Times New Roman"/>
          <w:sz w:val="24"/>
        </w:rPr>
        <w:t xml:space="preserve"> The Company and its subsidiaries have insurance covering their respective properties, operations, personnel and businesses, including business interruption insurance, which insurance is in amounts and insures against such losses and risks as are, in the opinion of the Company, adequate to protect the Company and its subsidiaries and their respective businesses, and as are necessary to comply with [COMPANY’S HOME JURISDICTION] law requirements; and neither the Company nor any of its subsidiaries has (i) received written notice from any insurer or agent of such insurer that capital improvements or other expenditures are required or necessary to be made in order to continue such insurance or (ii) any reason to believe that it will not be able to renew its existing insurance coverage as and when such coverage expires or to obtain similar coverage at reasonable cost from similar insurers as may be necessary to continue its business.</w:t>
      </w:r>
    </w:p>
    <w:p>
      <w:pPr/>
      <w:r>
        <w:rPr>
          <w:rFonts w:ascii="Times New Roman" w:hAnsi="Times New Roman" w:eastAsia="Times New Roman" w:cs="Times New Roman"/>
          <w:sz w:val="24"/>
        </w:rPr>
        <w:t>No Unlawful Payments.</w:t>
      </w:r>
      <w:r>
        <w:rPr>
          <w:rFonts w:ascii="Times New Roman" w:hAnsi="Times New Roman" w:eastAsia="Times New Roman" w:cs="Times New Roman"/>
          <w:sz w:val="24"/>
        </w:rPr>
        <w:t xml:space="preserve"> Neither the Company nor any of its subsidiaries, nor any of their respective directors or officers nor to the knowledge of the Company, any employee agent, affiliate or other person associated with or acting on behalf of the Company or any of its subsidiaries has (i) used any corporate funds for any unlawful contribution, gift, entertainment or other unlawful expense relating to political activity; (ii) made or taken an act in furtherance of an offer, promise or authorization of any direct or indirect unlawful payment or benefit to any foreign or domestic government official or employee, including of any government-owned or controlled entity or of a public international organization, or any person acting in an official capacity for or on behalf of any of the foregoing, or any political party or party official or candidate for political office; (iii) violated or is in violation of any provision of the U.S. Foreign Corrupt Practices Act of 1977, as amended, or any applicable law or regulation implementing the OECD Convention on Combating Bribery of Foreign Public Officials in International Business Transactions, (OECD Anti-Bribery Convention), or any other applicable anti-bribery or anti-corruption law or regulation; or (iv) made, offered, agreed, requested or taken an act in furtherance of any unlawful bribe or other unlawful benefit, including, without limitation, any rebate, payoff, influence payment, kickback or other unlawful or improper payment or benefit. The Company and its </w:t>
      </w:r>
      <w:r>
        <w:rPr>
          <w:rFonts w:ascii="Times New Roman" w:hAnsi="Times New Roman" w:eastAsia="Times New Roman" w:cs="Times New Roman"/>
          <w:sz w:val="24"/>
        </w:rPr>
        <w:t>subsidiaries have instituted, maintain and enforce, and will continue to maintain and enforce policies and procedures designed to promote and ensure compliance with all applicable anti-bribery and anti-corruption laws.</w:t>
      </w:r>
    </w:p>
    <w:p>
      <w:pPr/>
      <w:r>
        <w:rPr>
          <w:rFonts w:ascii="Times New Roman" w:hAnsi="Times New Roman" w:eastAsia="Times New Roman" w:cs="Times New Roman"/>
          <w:sz w:val="24"/>
        </w:rPr>
        <w:t>Compliance with Anti-Money Laundering Laws.</w:t>
      </w:r>
      <w:r>
        <w:rPr>
          <w:rFonts w:ascii="Times New Roman" w:hAnsi="Times New Roman" w:eastAsia="Times New Roman" w:cs="Times New Roman"/>
          <w:sz w:val="24"/>
        </w:rPr>
        <w:t xml:space="preserve"> The operations of the Company and its subsidiaries are and have been conducted at all times in compliance with applicable financial recordkeeping and reporting requirements, including those of the U.S. Currency and Foreign Transactions Reporting Act of 1970, as amended, the applicable money laundering statutes of all jurisdictions where the Company or any of its subsidiaries conducts business, the rules and regulations thereunder and any related or similar rules, regulations or guidelines, issued, administered or enforced by any governmental agency (collectively, the “Anti-Money Laundering Laws”), and no action, suit or proceeding by or before any court or governmental agency, authority or body or any arbitrator involving the Company or any of its subsidiaries with respect to the Anti-Money Laundering Laws is pending or, to the knowledge of the Company, threatened.</w:t>
      </w:r>
    </w:p>
    <w:p>
      <w:pPr/>
      <w:r>
        <w:rPr>
          <w:rFonts w:ascii="Times New Roman" w:hAnsi="Times New Roman" w:eastAsia="Times New Roman" w:cs="Times New Roman"/>
          <w:sz w:val="24"/>
        </w:rPr>
        <w:t>No Conflicts with Sanctions Laws.</w:t>
      </w:r>
      <w:r>
        <w:rPr>
          <w:rFonts w:ascii="Times New Roman" w:hAnsi="Times New Roman" w:eastAsia="Times New Roman" w:cs="Times New Roman"/>
          <w:sz w:val="24"/>
        </w:rPr>
        <w:t xml:space="preserve"> Neither the Company nor any of its subsidiaries, directors, officers nor, to the knowledge of the Company, any employee, agent, affiliate or other person acting on behalf of the Company or any of its subsidiaries is currently the subject or the target of any sanctions administered or enforced by the U.S. government (including, without limitation, the Office of Foreign Assets Control of the U.S. Department of the Treasury or the U.S. Department of State and including, without limitation, the designation as a “specially designated national” or “blocked person”), the United Nations Security Council, the European Union, Her Majesty’s Treasury or other relevant sanctions authority with jurisdiction over the Company or any of its subsidiaries (collectively, “</w:t>
      </w:r>
      <w:r>
        <w:rPr>
          <w:rFonts w:ascii="Times New Roman" w:hAnsi="Times New Roman" w:eastAsia="Times New Roman" w:cs="Times New Roman"/>
          <w:sz w:val="24"/>
        </w:rPr>
        <w:t>Sanctions</w:t>
      </w:r>
      <w:r>
        <w:rPr>
          <w:rFonts w:ascii="Times New Roman" w:hAnsi="Times New Roman" w:eastAsia="Times New Roman" w:cs="Times New Roman"/>
          <w:sz w:val="24"/>
        </w:rPr>
        <w:t>”), nor is the Company, any of its subsidiaries located, organized or resident in a country or territory that is the subject or target of Sanctions, including, without limitation, Cuba, Iran, North Korea, Syria and Crimea (each, a “</w:t>
      </w:r>
      <w:r>
        <w:rPr>
          <w:rFonts w:ascii="Times New Roman" w:hAnsi="Times New Roman" w:eastAsia="Times New Roman" w:cs="Times New Roman"/>
          <w:sz w:val="24"/>
        </w:rPr>
        <w:t>Sanctioned Country</w:t>
      </w:r>
      <w:r>
        <w:rPr>
          <w:rFonts w:ascii="Times New Roman" w:hAnsi="Times New Roman" w:eastAsia="Times New Roman" w:cs="Times New Roman"/>
          <w:sz w:val="24"/>
        </w:rPr>
        <w:t>”); and the Company will not directly or indirectly use the proceeds of the offering of the ADSs hereunder, or lend, contribute or otherwise make available such proceeds to any subsidiary, joint venture partner or other person or entity (i) to fund or facilitate any activities of or business with any person that, at the time of such funding or facilitation, is the subject or target of Sanctions (ii) to fund or facilitate any activities of or business in any Sanctioned Country or (iii) in any other manner that will result in a violation by any person (including any person participating in the transaction, whether as underwriter, advisor, investor or otherwise) of Sanctions. For the past three years, the Company and its subsidiaries have not knowingly engaged in and are not now knowingly engaged in any dealings or transactions (x) with any person that at the time of the dealing or transaction is or was the subject or target of Sanctions with or (y) any Sanctioned Country.</w:t>
      </w:r>
    </w:p>
    <w:p>
      <w:pPr/>
      <w:r>
        <w:rPr>
          <w:rFonts w:ascii="Times New Roman" w:hAnsi="Times New Roman" w:eastAsia="Times New Roman" w:cs="Times New Roman"/>
          <w:sz w:val="24"/>
        </w:rPr>
        <w:t>No Restrictions on Subsidiaries.</w:t>
      </w:r>
      <w:r>
        <w:rPr>
          <w:rFonts w:ascii="Times New Roman" w:hAnsi="Times New Roman" w:eastAsia="Times New Roman" w:cs="Times New Roman"/>
          <w:sz w:val="24"/>
        </w:rPr>
        <w:t xml:space="preserve"> No subsidiary of the Company is currently prohibited, directly or indirectly, under any agreement or other instrument to which it is a party or is subject, from paying any dividends to the Company, from making any other distribution on such subsidiary’s capital stock or similar ownership interest, from repaying to the Company any loans or advances to such subsidiary from the Company </w:t>
      </w:r>
      <w:r>
        <w:rPr>
          <w:rFonts w:ascii="Times New Roman" w:hAnsi="Times New Roman" w:eastAsia="Times New Roman" w:cs="Times New Roman"/>
          <w:sz w:val="24"/>
        </w:rPr>
        <w:t>or from transferring any of such subsidiary’s properties or assets to the Company or any other subsidiary of the Company.</w:t>
      </w:r>
    </w:p>
    <w:p>
      <w:pPr/>
      <w:r>
        <w:rPr>
          <w:rFonts w:ascii="Times New Roman" w:hAnsi="Times New Roman" w:eastAsia="Times New Roman" w:cs="Times New Roman"/>
          <w:sz w:val="24"/>
        </w:rPr>
        <w:t>No Broker’s Fees.</w:t>
      </w:r>
      <w:r>
        <w:rPr>
          <w:rFonts w:ascii="Times New Roman" w:hAnsi="Times New Roman" w:eastAsia="Times New Roman" w:cs="Times New Roman"/>
          <w:sz w:val="24"/>
        </w:rPr>
        <w:t xml:space="preserve"> Neither the Company nor any of its subsidiaries is a party to any contract, agreement or understanding with any person (other than this Agreement) that would give rise to a valid claim against any of them or any Underwriter for a brokerage commission, finder’s fee or like payment in connection with the offering and sale of the ADSs.</w:t>
      </w:r>
    </w:p>
    <w:p>
      <w:pPr/>
      <w:r>
        <w:rPr>
          <w:rFonts w:ascii="Times New Roman" w:hAnsi="Times New Roman" w:eastAsia="Times New Roman" w:cs="Times New Roman"/>
          <w:sz w:val="24"/>
        </w:rPr>
        <w:t>No Registration Rights.</w:t>
      </w:r>
      <w:r>
        <w:rPr>
          <w:rFonts w:ascii="Times New Roman" w:hAnsi="Times New Roman" w:eastAsia="Times New Roman" w:cs="Times New Roman"/>
          <w:sz w:val="24"/>
        </w:rPr>
        <w:t xml:space="preserve"> No person has the right to require the Company or any of its subsidiaries to register any securities for sale under the Securities Act by reason of the filing of the Registration Statement with the SEC, the issuance and sale of the Underlying Shares by the Company or, to the knowledge of the Company, the sale of the Underlying Shares to be sold by the Selling Shareholders hereunder.</w:t>
      </w:r>
    </w:p>
    <w:p>
      <w:pPr/>
      <w:r>
        <w:rPr>
          <w:rFonts w:ascii="Times New Roman" w:hAnsi="Times New Roman" w:eastAsia="Times New Roman" w:cs="Times New Roman"/>
          <w:sz w:val="24"/>
        </w:rPr>
        <w:t>No Stabilization.</w:t>
      </w:r>
      <w:r>
        <w:rPr>
          <w:rFonts w:ascii="Times New Roman" w:hAnsi="Times New Roman" w:eastAsia="Times New Roman" w:cs="Times New Roman"/>
          <w:sz w:val="24"/>
        </w:rPr>
        <w:t xml:space="preserve"> The Company has not taken, directly or indirectly, any action designed to or that could reasonably be expected to cause or result in any stabilization or manipulation of the price of the ADSs.</w:t>
      </w:r>
    </w:p>
    <w:p>
      <w:pPr/>
      <w:r>
        <w:rPr>
          <w:rFonts w:ascii="Times New Roman" w:hAnsi="Times New Roman" w:eastAsia="Times New Roman" w:cs="Times New Roman"/>
          <w:sz w:val="24"/>
        </w:rPr>
        <w:t>Forward-Looking Statements.</w:t>
      </w:r>
      <w:r>
        <w:rPr>
          <w:rFonts w:ascii="Times New Roman" w:hAnsi="Times New Roman" w:eastAsia="Times New Roman" w:cs="Times New Roman"/>
          <w:sz w:val="24"/>
        </w:rPr>
        <w:t xml:space="preserve"> No forward-looking statement (within the meaning of Section 27A of the Securities Act and Section 21E of the Exchange Act) contained in the Registration Statement, the Pricing Disclosure Package or the Prospectus has been made or reaffirmed without a reasonable basis or has been disclosed other than in good faith.</w:t>
      </w:r>
    </w:p>
    <w:p>
      <w:pPr/>
      <w:r>
        <w:rPr>
          <w:rFonts w:ascii="Times New Roman" w:hAnsi="Times New Roman" w:eastAsia="Times New Roman" w:cs="Times New Roman"/>
          <w:sz w:val="24"/>
        </w:rPr>
        <w:t>Statistical and Market Data.</w:t>
      </w:r>
      <w:r>
        <w:rPr>
          <w:rFonts w:ascii="Times New Roman" w:hAnsi="Times New Roman" w:eastAsia="Times New Roman" w:cs="Times New Roman"/>
          <w:sz w:val="24"/>
        </w:rPr>
        <w:t xml:space="preserve"> Nothing has come to the attention of the Company that has caused the Company to believe that the statistical and market-related data included in each of the Registration Statement, the Pricing Disclosure Package and the Prospectus is not based on or derived from sources that are reliable and accurate in all material respects.</w:t>
      </w:r>
    </w:p>
    <w:p>
      <w:pPr/>
      <w:r>
        <w:rPr>
          <w:rFonts w:ascii="Times New Roman" w:hAnsi="Times New Roman" w:eastAsia="Times New Roman" w:cs="Times New Roman"/>
          <w:sz w:val="24"/>
        </w:rPr>
        <w:t>Status under the Securities Act.</w:t>
      </w:r>
      <w:r>
        <w:rPr>
          <w:rFonts w:ascii="Times New Roman" w:hAnsi="Times New Roman" w:eastAsia="Times New Roman" w:cs="Times New Roman"/>
          <w:sz w:val="24"/>
        </w:rPr>
        <w:t xml:space="preserve"> At the time of filing the Registration Statement and any post-effective amendment thereto, at the earliest time thereafter that the Company or any offering participant made a </w:t>
      </w:r>
      <w:r>
        <w:rPr>
          <w:rFonts w:ascii="Times New Roman" w:hAnsi="Times New Roman" w:eastAsia="Times New Roman" w:cs="Times New Roman"/>
          <w:sz w:val="24"/>
        </w:rPr>
        <w:t>bona fide</w:t>
      </w:r>
      <w:r>
        <w:rPr>
          <w:rFonts w:ascii="Times New Roman" w:hAnsi="Times New Roman" w:eastAsia="Times New Roman" w:cs="Times New Roman"/>
          <w:sz w:val="24"/>
        </w:rPr>
        <w:t xml:space="preserve"> offer (within the meaning of Rule 164(h)(2) under the Securities Act) of the ADSs and at the date hereof, the Company was not and is not an “ineligible issuer” as defined in Rule 405 under the Securities Act. The Company has paid the registration fee for this offering pursuant to Rule 456(b)(1) under the Securities Act or will pay such fee within the time period required by such rule (without giving effect to the proviso therein) and in any event prior to the Closing Date.</w:t>
      </w:r>
    </w:p>
    <w:p>
      <w:pPr/>
      <w:r>
        <w:rPr>
          <w:rFonts w:ascii="Times New Roman" w:hAnsi="Times New Roman" w:eastAsia="Times New Roman" w:cs="Times New Roman"/>
          <w:sz w:val="24"/>
        </w:rPr>
        <w:t>Stamp Taxes.</w:t>
      </w:r>
      <w:r>
        <w:rPr>
          <w:rFonts w:ascii="Times New Roman" w:hAnsi="Times New Roman" w:eastAsia="Times New Roman" w:cs="Times New Roman"/>
          <w:sz w:val="24"/>
        </w:rPr>
        <w:t xml:space="preserve"> Except for any net income, capital gains or franchise taxes imposed on the Underwriters by [COMPANY’S HOME JURISDICTION] or any political subdivision or taxing authority thereof or therein as a result of any present or former connection (other than any connection resulting from the transactions contemplated by the Transaction Documents) between the Underwriters and the jurisdiction imposing such tax, no stamp duties or other issuance or transfer taxes are payable by or on behalf of the Underwriters in [COMPANY’S HOME JURISDICTION], the United States or any political subdivision or taxing authority thereof solely in connection with (A) the execution, delivery and performance of the Transaction Documents, (B) the deposit </w:t>
      </w:r>
      <w:r>
        <w:rPr>
          <w:rFonts w:ascii="Times New Roman" w:hAnsi="Times New Roman" w:eastAsia="Times New Roman" w:cs="Times New Roman"/>
          <w:sz w:val="24"/>
        </w:rPr>
        <w:t>with the Depositary of the Underlying Shares against issuance of the ADSs, or (C) the sale and delivery by the Underwriters of the ADSs as contemplated herein and in the Prospectus.</w:t>
      </w:r>
    </w:p>
    <w:p>
      <w:pPr/>
      <w:r>
        <w:rPr>
          <w:rFonts w:ascii="Times New Roman" w:hAnsi="Times New Roman" w:eastAsia="Times New Roman" w:cs="Times New Roman"/>
          <w:sz w:val="24"/>
        </w:rPr>
        <w:t>Proper Legal Form under [</w:t>
      </w:r>
      <w:r>
        <w:rPr>
          <w:rFonts w:ascii="Times New Roman" w:hAnsi="Times New Roman" w:eastAsia="Times New Roman" w:cs="Times New Roman"/>
          <w:sz w:val="24"/>
        </w:rPr>
        <w:t>COMPANY’S HOME JURISDICTION</w:t>
      </w:r>
      <w:r>
        <w:rPr>
          <w:rFonts w:ascii="Times New Roman" w:hAnsi="Times New Roman" w:eastAsia="Times New Roman" w:cs="Times New Roman"/>
          <w:sz w:val="24"/>
        </w:rPr>
        <w:t>] Law.</w:t>
      </w:r>
      <w:r>
        <w:rPr>
          <w:rFonts w:ascii="Times New Roman" w:hAnsi="Times New Roman" w:eastAsia="Times New Roman" w:cs="Times New Roman"/>
          <w:sz w:val="24"/>
        </w:rPr>
        <w:t xml:space="preserve"> This Agreement and the Deposit Agreement are in proper legal form under the laws of [COMPANY’S HOME JURISDICTION] for the enforcement thereof in [COMPANY’S HOME JURISDICTION] against the Company[, </w:t>
      </w:r>
      <w:r>
        <w:rPr>
          <w:rFonts w:ascii="Times New Roman" w:hAnsi="Times New Roman" w:eastAsia="Times New Roman" w:cs="Times New Roman"/>
          <w:sz w:val="24"/>
        </w:rPr>
        <w:t>provided</w:t>
      </w:r>
      <w:r>
        <w:rPr>
          <w:rFonts w:ascii="Times New Roman" w:hAnsi="Times New Roman" w:eastAsia="Times New Roman" w:cs="Times New Roman"/>
          <w:sz w:val="24"/>
        </w:rPr>
        <w:t>, [ADDITIONAL REQUIREMENTS]].</w:t>
      </w:r>
    </w:p>
    <w:p>
      <w:pPr/>
      <w:r>
        <w:rPr>
          <w:rFonts w:ascii="Times New Roman" w:hAnsi="Times New Roman" w:eastAsia="Times New Roman" w:cs="Times New Roman"/>
          <w:sz w:val="24"/>
        </w:rPr>
        <w:t>No Immunity.</w:t>
      </w:r>
      <w:r>
        <w:rPr>
          <w:rFonts w:ascii="Times New Roman" w:hAnsi="Times New Roman" w:eastAsia="Times New Roman" w:cs="Times New Roman"/>
          <w:sz w:val="24"/>
        </w:rPr>
        <w:t xml:space="preserve"> Neither the Company nor any of its subsidiaries or their properties or assets has immunity under [COMPANY’S HOME JURISDICTION], U.S. federal or New York state law from any legal action, suit or proceeding, from the giving of any relief in any such legal action, suit or proceeding, from set-off or counterclaim, from the jurisdiction of any [COMPANY’S HOME JURISDICTION], U.S. federal or New York state court, from service of process, attachment upon or prior to judgment, or attachment in aid of execution of judgment, or from execution of a judgment, or other legal process or proceeding for the giving of any relief or for the enforcement of a judgment, in any such court with respect to their respective obligations, liabilities or any other matter under or arising out of or in connection herewith; and, to the extent that the Company or any of its subsidiaries or any of its properties, assets or revenues may have or may hereafter become entitled to any such right of immunity in any such court in which proceedings arising out of, or relating to the transactions contemplated by the Transaction Documents, may at any time be commenced, the Company has, pursuant to Section </w:t>
      </w:r>
      <w:r>
        <w:rPr>
          <w:rFonts w:ascii="Times New Roman" w:hAnsi="Times New Roman" w:eastAsia="Times New Roman" w:cs="Times New Roman"/>
          <w:sz w:val="24"/>
        </w:rPr>
        <w:t>17(e)</w:t>
      </w:r>
      <w:r>
        <w:rPr>
          <w:rFonts w:ascii="Times New Roman" w:hAnsi="Times New Roman" w:eastAsia="Times New Roman" w:cs="Times New Roman"/>
          <w:sz w:val="24"/>
        </w:rPr>
        <w:t xml:space="preserve"> of this Agreement, waived, and it will waive, or will cause its subsidiaries to waive, such right to the extent permitted by law.</w:t>
      </w:r>
    </w:p>
    <w:p>
      <w:pPr/>
      <w:r>
        <w:rPr>
          <w:rFonts w:ascii="Times New Roman" w:hAnsi="Times New Roman" w:eastAsia="Times New Roman" w:cs="Times New Roman"/>
          <w:sz w:val="24"/>
        </w:rPr>
        <w:t>Enforcement of Foreign Judgments.</w:t>
      </w:r>
      <w:r>
        <w:rPr>
          <w:rFonts w:ascii="Times New Roman" w:hAnsi="Times New Roman" w:eastAsia="Times New Roman" w:cs="Times New Roman"/>
          <w:sz w:val="24"/>
        </w:rPr>
        <w:t xml:space="preserve"> Any final judgment for a fixed or determined sum of money rendered by any U.S. federal or New York state court located in the State of New York having jurisdiction under its own laws in respect of any suit, action or proceeding against the Company based upon any of the Transaction Documents would be declared enforceable against the Company by the courts of [COMPANY’S HOME JURISDICTION], without reconsideration or reexamination of the merits.</w:t>
      </w:r>
    </w:p>
    <w:p>
      <w:pPr/>
      <w:r>
        <w:rPr>
          <w:rFonts w:ascii="Times New Roman" w:hAnsi="Times New Roman" w:eastAsia="Times New Roman" w:cs="Times New Roman"/>
          <w:sz w:val="24"/>
        </w:rPr>
        <w:t>Valid Choice of Law.</w:t>
      </w:r>
      <w:r>
        <w:rPr>
          <w:rFonts w:ascii="Times New Roman" w:hAnsi="Times New Roman" w:eastAsia="Times New Roman" w:cs="Times New Roman"/>
          <w:sz w:val="24"/>
        </w:rPr>
        <w:t xml:space="preserve"> The choice of laws of the State of New York as the governing law of the Transaction Documents is a valid choice of law under the laws of [COMPANY’S HOME JURISDICTION] and will be honored by the courts of [COMPANY’S HOME JURISDICTION][, subject to the restrictions described under the caption “Enforcement of Civil Liabilities” in the Registration Statement, the Pricing Disclosure Package and the Prospectus]. The Company has the power to submit, and pursuant to Section </w:t>
      </w:r>
      <w:r>
        <w:rPr>
          <w:rFonts w:ascii="Times New Roman" w:hAnsi="Times New Roman" w:eastAsia="Times New Roman" w:cs="Times New Roman"/>
          <w:sz w:val="24"/>
        </w:rPr>
        <w:t>17(d)</w:t>
      </w:r>
      <w:r>
        <w:rPr>
          <w:rFonts w:ascii="Times New Roman" w:hAnsi="Times New Roman" w:eastAsia="Times New Roman" w:cs="Times New Roman"/>
          <w:sz w:val="24"/>
        </w:rPr>
        <w:t xml:space="preserve"> </w:t>
      </w:r>
      <w:r>
        <w:rPr>
          <w:rFonts w:ascii="Times New Roman" w:hAnsi="Times New Roman" w:eastAsia="Times New Roman" w:cs="Times New Roman"/>
          <w:sz w:val="24"/>
        </w:rPr>
        <w:t>of this Agreement and Section [SECTION] of the Deposit Agreement, has legally, validly, effectively and irrevocably submitted, to the personal jurisdiction of each New York state and United States federal court sitting in the City of New York and has validly and irrevocably waived any objection to the laying of venue of any suit, action or proceeding brought in such court.</w:t>
      </w:r>
    </w:p>
    <w:p>
      <w:pPr/>
      <w:r>
        <w:rPr>
          <w:rFonts w:ascii="Times New Roman" w:hAnsi="Times New Roman" w:eastAsia="Times New Roman" w:cs="Times New Roman"/>
          <w:sz w:val="24"/>
        </w:rPr>
        <w:t>Passive Foreign Investment Company.</w:t>
      </w:r>
      <w:r>
        <w:rPr>
          <w:rFonts w:ascii="Times New Roman" w:hAnsi="Times New Roman" w:eastAsia="Times New Roman" w:cs="Times New Roman"/>
          <w:sz w:val="24"/>
        </w:rPr>
        <w:t xml:space="preserve"> Subject to the qualifications, limitations, exceptions and assumptions set forth in the Preliminary Prospectus and the Prospectus, the Company does not believe that it was a passive foreign investment company (a </w:t>
      </w:r>
      <w:r>
        <w:rPr>
          <w:rFonts w:ascii="Times New Roman" w:hAnsi="Times New Roman" w:eastAsia="Times New Roman" w:cs="Times New Roman"/>
          <w:sz w:val="24"/>
        </w:rPr>
        <w:t>“</w:t>
      </w:r>
      <w:r>
        <w:rPr>
          <w:rFonts w:ascii="Times New Roman" w:hAnsi="Times New Roman" w:eastAsia="Times New Roman" w:cs="Times New Roman"/>
          <w:sz w:val="24"/>
        </w:rPr>
        <w:t>PFIC</w:t>
      </w:r>
      <w:r>
        <w:rPr>
          <w:rFonts w:ascii="Times New Roman" w:hAnsi="Times New Roman" w:eastAsia="Times New Roman" w:cs="Times New Roman"/>
          <w:sz w:val="24"/>
        </w:rPr>
        <w:t>”), as defined in section 1297 of the Internal Revenue Code of 1986, as amended, for its most recent taxable year, and the Company does not expect to become a PFIC in the current taxable year or the foreseeable future.</w:t>
      </w:r>
    </w:p>
    <w:p>
      <w:pPr/>
      <w:r>
        <w:rPr>
          <w:rFonts w:ascii="Times New Roman" w:hAnsi="Times New Roman" w:eastAsia="Times New Roman" w:cs="Times New Roman"/>
          <w:sz w:val="24"/>
        </w:rPr>
        <w:t>Dividends.</w:t>
      </w:r>
      <w:r>
        <w:rPr>
          <w:rFonts w:ascii="Times New Roman" w:hAnsi="Times New Roman" w:eastAsia="Times New Roman" w:cs="Times New Roman"/>
          <w:sz w:val="24"/>
        </w:rPr>
        <w:t xml:space="preserve"> Under current laws and regulations of [COMPANY’S HOME JURISDICTION] and any political subdivision thereof, any amount payable with respect to the Underlying Shares upon liquidation of the Company or upon redemption thereof and dividends and other distributions declared and payable on the Underlying Shares of the Company may be paid by the Company in United States dollars or euros and freely transferred out of [COMPANY’S HOME JURISDICTION], and no such payments made to the holders thereof or therein who are non-residents of [COMPANY’S HOME JURISDICTION] will be subject to income, withholding or other taxes under laws and regulations of [COMPANY’S HOME JURISDICTION] or any political subdivision or taxing authority thereof or therein and without the necessity of obtaining any governmental authorization in [COMPANY’S HOME JURISDICTION] or any political subdivision or taxing authority thereof or therein.</w:t>
      </w:r>
    </w:p>
    <w:p>
      <w:pPr/>
      <w:r>
        <w:rPr>
          <w:rFonts w:ascii="Times New Roman" w:hAnsi="Times New Roman" w:eastAsia="Times New Roman" w:cs="Times New Roman"/>
          <w:sz w:val="24"/>
        </w:rPr>
        <w:t>Legality.</w:t>
      </w:r>
      <w:r>
        <w:rPr>
          <w:rFonts w:ascii="Times New Roman" w:hAnsi="Times New Roman" w:eastAsia="Times New Roman" w:cs="Times New Roman"/>
          <w:sz w:val="24"/>
        </w:rPr>
        <w:t xml:space="preserve"> The legality, validity, enforceability or admissibility into evidence of any of the Registration Statement, the Pricing Disclosure Package, the Prospectus, the Transaction Documents or the ADSs in any jurisdiction in which the Company is organized or does business is not dependent upon such document being submitted into, filed or recorded with any court or other authority in any such jurisdiction on or before the date hereof or that any tax, imposition or charge be paid in any such jurisdiction on or in respect of any such document.</w:t>
      </w:r>
    </w:p>
    <w:p>
      <w:pPr/>
      <w:r>
        <w:rPr>
          <w:rFonts w:ascii="Times New Roman" w:hAnsi="Times New Roman" w:eastAsia="Times New Roman" w:cs="Times New Roman"/>
          <w:sz w:val="24"/>
        </w:rPr>
        <w:t>Legal Action.</w:t>
      </w:r>
      <w:r>
        <w:rPr>
          <w:rFonts w:ascii="Times New Roman" w:hAnsi="Times New Roman" w:eastAsia="Times New Roman" w:cs="Times New Roman"/>
          <w:sz w:val="24"/>
        </w:rPr>
        <w:t xml:space="preserve"> A holder of the ADSs and each Underwriter are each entitled to sue as plaintiff in the court of the jurisdiction of formation and domicile of the Company for the enforcement of their respective rights under this Agreement and the ADSs and such access to such courts will not be subject to any conditions which are not applicable to residents of such jurisdiction or a company incorporated in such jurisdiction.</w:t>
      </w:r>
    </w:p>
    <w:p>
      <w:pPr/>
      <w:r>
        <w:rPr>
          <w:rFonts w:ascii="Times New Roman" w:hAnsi="Times New Roman" w:eastAsia="Times New Roman" w:cs="Times New Roman"/>
          <w:sz w:val="24"/>
        </w:rPr>
        <w:t>Foreign Issuer.</w:t>
      </w:r>
      <w:r>
        <w:rPr>
          <w:rFonts w:ascii="Times New Roman" w:hAnsi="Times New Roman" w:eastAsia="Times New Roman" w:cs="Times New Roman"/>
          <w:sz w:val="24"/>
        </w:rPr>
        <w:t xml:space="preserve"> The Company is a “foreign private issuer” as defined in Rule 405 under the Securities Act.</w:t>
      </w:r>
    </w:p>
    <w:p>
      <w:pPr/>
      <w:r>
        <w:rPr>
          <w:rFonts w:ascii="Times New Roman" w:hAnsi="Times New Roman" w:eastAsia="Times New Roman" w:cs="Times New Roman"/>
          <w:sz w:val="24"/>
        </w:rPr>
        <w:t>Further Agreements of the Company.</w:t>
      </w:r>
      <w:r>
        <w:rPr>
          <w:rFonts w:ascii="Times New Roman" w:hAnsi="Times New Roman" w:eastAsia="Times New Roman" w:cs="Times New Roman"/>
          <w:sz w:val="24"/>
        </w:rPr>
        <w:t xml:space="preserve"> The Company covenants and agrees with each Underwriter that:</w:t>
      </w:r>
    </w:p>
    <w:p>
      <w:pPr/>
      <w:r>
        <w:rPr>
          <w:rFonts w:ascii="Times New Roman" w:hAnsi="Times New Roman" w:eastAsia="Times New Roman" w:cs="Times New Roman"/>
          <w:sz w:val="24"/>
        </w:rPr>
        <w:t>Required Filings.</w:t>
      </w:r>
      <w:r>
        <w:rPr>
          <w:rFonts w:ascii="Times New Roman" w:hAnsi="Times New Roman" w:eastAsia="Times New Roman" w:cs="Times New Roman"/>
          <w:sz w:val="24"/>
        </w:rPr>
        <w:t xml:space="preserve"> The Company will file the final Prospectus with the SEC within the time periods specified by Rule 424(b) and Rule 430A, 430B or 430C under the Securities Act, will file any Issuer Free Writing Prospectus to the extent required by Rule 433 under the Securities Act; and will furnish copies of the Prospectus and each Issuer Free Writing Prospectus (to the extent not previously delivered) to the Underwriters in New York City prior to 10:00 A.M., New York City time, on the business day next succeeding the date of this Agreement in such quantities as the Representatives may reasonably request.</w:t>
      </w:r>
    </w:p>
    <w:p>
      <w:pPr/>
      <w:r>
        <w:rPr>
          <w:rFonts w:ascii="Times New Roman" w:hAnsi="Times New Roman" w:eastAsia="Times New Roman" w:cs="Times New Roman"/>
          <w:sz w:val="24"/>
        </w:rPr>
        <w:t>Delivery of Copies.</w:t>
      </w:r>
      <w:r>
        <w:rPr>
          <w:rFonts w:ascii="Times New Roman" w:hAnsi="Times New Roman" w:eastAsia="Times New Roman" w:cs="Times New Roman"/>
          <w:sz w:val="24"/>
        </w:rPr>
        <w:t xml:space="preserve"> The Company will deliver, without charge, (i) to the Representatives signed copies of the Registration Statement as originally filed and each amendment thereto, in each case including all exhibits and consents filed therewith; and (ii) to each Underwriter (A) a conformed copy of the Registration Statement as </w:t>
      </w:r>
      <w:r>
        <w:rPr>
          <w:rFonts w:ascii="Times New Roman" w:hAnsi="Times New Roman" w:eastAsia="Times New Roman" w:cs="Times New Roman"/>
          <w:sz w:val="24"/>
        </w:rPr>
        <w:t>originally filed and each amendment thereto (without exhibits) and (B) during the Prospectus Delivery Period (as defined below), as many copies of the Prospectus (including all amendments and supplements thereto and each Issuer Free Writing Prospectus) as the Representatives may reasonably request. As used herein, the term “</w:t>
      </w:r>
      <w:r>
        <w:rPr>
          <w:rFonts w:ascii="Times New Roman" w:hAnsi="Times New Roman" w:eastAsia="Times New Roman" w:cs="Times New Roman"/>
          <w:sz w:val="24"/>
        </w:rPr>
        <w:t>Prospectus Delivery Period</w:t>
      </w:r>
      <w:r>
        <w:rPr>
          <w:rFonts w:ascii="Times New Roman" w:hAnsi="Times New Roman" w:eastAsia="Times New Roman" w:cs="Times New Roman"/>
          <w:sz w:val="24"/>
        </w:rPr>
        <w:t>” means such period of time after the first date of the public offering of the ADSs as in the opinion of counsel for the Underwriters a prospectus relating to the ADSs is required by law to be delivered (or required to be delivered but for Rule 172 under the Securities Act) in connection with sales of the ADSs by any Underwriter or dealer.</w:t>
      </w:r>
    </w:p>
    <w:p>
      <w:pPr/>
      <w:r>
        <w:rPr>
          <w:rFonts w:ascii="Times New Roman" w:hAnsi="Times New Roman" w:eastAsia="Times New Roman" w:cs="Times New Roman"/>
          <w:sz w:val="24"/>
        </w:rPr>
        <w:t>Amendments or Supplements, Issuer Free Writing Prospectuses.</w:t>
      </w:r>
      <w:r>
        <w:rPr>
          <w:rFonts w:ascii="Times New Roman" w:hAnsi="Times New Roman" w:eastAsia="Times New Roman" w:cs="Times New Roman"/>
          <w:sz w:val="24"/>
        </w:rPr>
        <w:t xml:space="preserve"> Before making, preparing, using, authorizing, approving, referring to or filing any Issuer Free Writing Prospectus, and before filing any amendment or supplement to the Registration Statement or the Prospectus, the Company will furnish to the Representatives and counsel for the Underwriters a copy of the proposed Issuer Free Writing Prospectus, amendment or supplement for review and will not make, prepare, use, authorize, approve, refer to or file any such Issuer Free Writing Prospectus or file any such proposed amendment or supplement to which the Representatives reasonably object.</w:t>
      </w:r>
    </w:p>
    <w:p>
      <w:pPr/>
      <w:r>
        <w:rPr>
          <w:rFonts w:ascii="Times New Roman" w:hAnsi="Times New Roman" w:eastAsia="Times New Roman" w:cs="Times New Roman"/>
          <w:sz w:val="24"/>
        </w:rPr>
        <w:t>Notice to the Representatives.</w:t>
      </w:r>
      <w:r>
        <w:rPr>
          <w:rFonts w:ascii="Times New Roman" w:hAnsi="Times New Roman" w:eastAsia="Times New Roman" w:cs="Times New Roman"/>
          <w:sz w:val="24"/>
        </w:rPr>
        <w:t xml:space="preserve"> The Company will advise the Representatives promptly, (i) when the Registration Statement has become effective; (ii) when any amendment to the Registration Statement has been filed or becomes effective; (iii) when any supplement to the Prospectus, any Issuer Free Writing Prospectus or any amendment to the Prospectus has been filed or distributed; (iv) of any request by the SEC for any amendment to the Registration Statement or any amendment or supplement to the Prospectus or the receipt of any comments from the SEC relating to the Registration Statement or any other request by the SEC for any additional information; (v) of the issuance by the SEC or any other governmental or regulatory authority of any order suspending the effectiveness of the Registration Statement or preventing or suspending the use of any Preliminary Prospectus, any of the Pricing Disclosure Package or the Prospectus, or the initiation or threatening of any proceeding for that purpose or pursuant to Section 8A of the Securities Act; (vi) of the occurrence of any event or development within the Prospectus Delivery Period as a result of which the Prospectus, any of the Pricing Disclosure Package or any Issuer Free Writing Prospectus, as then amended or supplemented would include any untrue statement of a material fact or omit to state a material fact necessary in order to make the statements therein, in the light of the circumstances existing when the Prospectus, the Pricing Disclosure Package or any such Issuer Free Writing Prospectus is delivered to a purchaser, not misleading; and (vii) of the receipt by the Company of any notice with respect to any suspension of the qualification of the ADSs for offer and sale in any jurisdiction or the initiation or threatening of any proceeding for such purpose; and the Company will use its best efforts to prevent the issuance of any such order suspending the effectiveness of the Registration Statement, preventing or suspending the use of any Preliminary Prospectus, any of the Pricing Disclosure Package or the Prospectus or suspending any such qualification of the ADSs and, if any such order is issued, will obtain as soon as possible the withdrawal thereof.</w:t>
      </w:r>
    </w:p>
    <w:p>
      <w:pPr/>
      <w:r>
        <w:rPr>
          <w:rFonts w:ascii="Times New Roman" w:hAnsi="Times New Roman" w:eastAsia="Times New Roman" w:cs="Times New Roman"/>
          <w:sz w:val="24"/>
        </w:rPr>
        <w:t>Ongoing Compliance.</w:t>
      </w:r>
      <w:r>
        <w:rPr>
          <w:rFonts w:ascii="Times New Roman" w:hAnsi="Times New Roman" w:eastAsia="Times New Roman" w:cs="Times New Roman"/>
          <w:sz w:val="24"/>
        </w:rPr>
        <w:t xml:space="preserve"> (1) If during the Prospectus Delivery Period (i) any event or development shall occur or condition shall exist as a result of which the Prospectus as then amended or supplemented would include any untrue statement of a material fact or omit to state any material fact necessary in order to make the statements therein, in the light of the circumstances existing when the Prospectus is delivered to a purchaser, not misleading or (ii) it is necessary to amend or supplement the Prospectus to comply with law, the Company will immediately notify the Underwriters thereof and forthwith prepare and, subject to paragraph </w:t>
      </w:r>
      <w:r>
        <w:rPr>
          <w:rFonts w:ascii="Times New Roman" w:hAnsi="Times New Roman" w:eastAsia="Times New Roman" w:cs="Times New Roman"/>
          <w:sz w:val="24"/>
        </w:rPr>
        <w:t>(c)</w:t>
      </w:r>
      <w:r>
        <w:rPr>
          <w:rFonts w:ascii="Times New Roman" w:hAnsi="Times New Roman" w:eastAsia="Times New Roman" w:cs="Times New Roman"/>
          <w:sz w:val="24"/>
        </w:rPr>
        <w:t xml:space="preserve"> above, file with the SEC and furnish to the Underwriters and to such dealers as the Representatives may designate such amendments or supplements to the Prospectus as may be necessary so that the statements in the Prospectus as so amended or supplemented will not, in the light of the circumstances existing when the Prospectus is delivered to a purchaser, be misleading or so that the Prospectus will comply with law and (2) if at any time prior to the Closing Date (i) any event or development shall occur or condition shall exist as a result of which the Pricing Disclosure Package as then amended or supplemented would include any untrue statement of a material fact or omit to state any material fact necessary in order to make the statements therein, in the light of the circumstances existing when the Pricing Disclosure Package is delivered to a purchaser, not misleading or (ii) it is necessary to amend or supplement the Pricing Disclosure Package to comply with law, the Company will immediately notify the Underwriters thereof and forthwith prepare and, subject to paragraph </w:t>
      </w:r>
      <w:r>
        <w:rPr>
          <w:rFonts w:ascii="Times New Roman" w:hAnsi="Times New Roman" w:eastAsia="Times New Roman" w:cs="Times New Roman"/>
          <w:sz w:val="24"/>
        </w:rPr>
        <w:t>(c)</w:t>
      </w:r>
      <w:r>
        <w:rPr>
          <w:rFonts w:ascii="Times New Roman" w:hAnsi="Times New Roman" w:eastAsia="Times New Roman" w:cs="Times New Roman"/>
          <w:sz w:val="24"/>
        </w:rPr>
        <w:t xml:space="preserve"> above, file with the SEC (to the extent required) and furnish to the Underwriters and to such dealers as the Representatives may designate, such amendments or supplements to the Pricing Disclosure Package (or any document to be filed with the SEC) as may be necessary so that the statements in the Pricing Disclosure Package as so amended or supplemented will not, in the light of the circumstances existing when the Pricing Disclosure Package is delivered to a purchaser, be misleading or so that the Pricing Disclosure Package will comply with law.</w:t>
      </w:r>
    </w:p>
    <w:p>
      <w:pPr/>
      <w:r>
        <w:rPr>
          <w:rFonts w:ascii="Times New Roman" w:hAnsi="Times New Roman" w:eastAsia="Times New Roman" w:cs="Times New Roman"/>
          <w:sz w:val="24"/>
        </w:rPr>
        <w:t>Blue Sky Compliance.</w:t>
      </w:r>
      <w:r>
        <w:rPr>
          <w:rFonts w:ascii="Times New Roman" w:hAnsi="Times New Roman" w:eastAsia="Times New Roman" w:cs="Times New Roman"/>
          <w:sz w:val="24"/>
        </w:rPr>
        <w:t xml:space="preserve"> The Company will qualify the ADSs for offer and sale under the securities or Blue Sky laws of such jurisdictions as the Representatives shall reasonably request and will continue such qualifications in effect so long as required for distribution of the ADSs; provided that the Company shall not be required to (i) qualify as a foreign corporation or other entity or as a dealer in securities in any such jurisdiction where it would not otherwise be required to so qualify, (ii) file any general consent to service of process in any such jurisdiction or (iii) subject itself to taxation in any such jurisdiction if it is not otherwise so subject.</w:t>
      </w:r>
    </w:p>
    <w:p>
      <w:pPr/>
      <w:r>
        <w:rPr>
          <w:rFonts w:ascii="Times New Roman" w:hAnsi="Times New Roman" w:eastAsia="Times New Roman" w:cs="Times New Roman"/>
          <w:sz w:val="24"/>
        </w:rPr>
        <w:t>Earnings Statement.</w:t>
      </w:r>
      <w:r>
        <w:rPr>
          <w:rFonts w:ascii="Times New Roman" w:hAnsi="Times New Roman" w:eastAsia="Times New Roman" w:cs="Times New Roman"/>
          <w:sz w:val="24"/>
        </w:rPr>
        <w:t xml:space="preserve"> The Company will make generally available to its security holders and the Representatives as soon as practicable an earnings statement that satisfies the provisions of Section 11(a) of the Securities Act and Rule 158 of the SEC promulgated thereunder covering a period of at least twelve months beginning with the first fiscal quarter of the Company occurring after the “effective date” (as defined in Rule 158 under the Securities Act) of the Registration Statement.</w:t>
      </w:r>
    </w:p>
    <w:p>
      <w:pPr/>
      <w:r>
        <w:rPr>
          <w:rFonts w:ascii="Times New Roman" w:hAnsi="Times New Roman" w:eastAsia="Times New Roman" w:cs="Times New Roman"/>
          <w:sz w:val="24"/>
        </w:rPr>
        <w:t>Clear Market.</w:t>
      </w:r>
      <w:r>
        <w:rPr>
          <w:rFonts w:ascii="Times New Roman" w:hAnsi="Times New Roman" w:eastAsia="Times New Roman" w:cs="Times New Roman"/>
          <w:sz w:val="24"/>
        </w:rPr>
        <w:t xml:space="preserve"> For a period of [180] days after the date of the Prospectus, the Company will not (i) offer, pledge, sell, contract to sell, sell any option or contract to purchase, purchase any option or contract to sell, grant any option, right or warrant to </w:t>
      </w:r>
      <w:r>
        <w:rPr>
          <w:rFonts w:ascii="Times New Roman" w:hAnsi="Times New Roman" w:eastAsia="Times New Roman" w:cs="Times New Roman"/>
          <w:sz w:val="24"/>
        </w:rPr>
        <w:t>purchase, or otherwise transfer or dispose of, directly or indirectly, or file with the SEC a registration statement under the Securities Act relating to or file with [REGULATOR IN COMPANY’S HOME JURISDICTION] a prospectus or any other offering document under the [COMPANY’S HOME JURISDICTION] Securities Rules, any outstanding shares of capital stock (the “</w:t>
      </w:r>
      <w:r>
        <w:rPr>
          <w:rFonts w:ascii="Times New Roman" w:hAnsi="Times New Roman" w:eastAsia="Times New Roman" w:cs="Times New Roman"/>
          <w:sz w:val="24"/>
        </w:rPr>
        <w:t>Outstanding Shares</w:t>
      </w:r>
      <w:r>
        <w:rPr>
          <w:rFonts w:ascii="Times New Roman" w:hAnsi="Times New Roman" w:eastAsia="Times New Roman" w:cs="Times New Roman"/>
          <w:sz w:val="24"/>
        </w:rPr>
        <w:t>”), including any Shares, or any securities convertible into or exercisable or exchangeable for Outstanding Shares in the form of American Depositary Shares, or publicly disclose the intention to make any offer, sale, pledge, disposition or filing, or (ii) enter into any swap or other agreement that transfers, in whole or in part, any of the economic consequences of ownership of Outstanding Shares, including any Shares in the form of American Depositary Shares, or any such other securities, whether any such transaction described in clause (i) or (ii) above is to be settled by delivery of Outstanding Shares, including any Shares in the form of American Depositary Shares, or such other securities, in cash or otherwise, without the prior written consent of the Representatives, other than the ADSs to be sold hereunder.</w:t>
      </w:r>
    </w:p>
    <w:p>
      <w:pPr/>
      <w:r>
        <w:rPr>
          <w:rFonts w:ascii="Times New Roman" w:hAnsi="Times New Roman" w:eastAsia="Times New Roman" w:cs="Times New Roman"/>
          <w:sz w:val="24"/>
        </w:rPr>
        <w:t xml:space="preserve">If the Representatives, in their sole discretion, agree to release or waive the restrictions set forth in Section </w:t>
      </w:r>
      <w:r>
        <w:rPr>
          <w:rFonts w:ascii="Times New Roman" w:hAnsi="Times New Roman" w:eastAsia="Times New Roman" w:cs="Times New Roman"/>
          <w:sz w:val="24"/>
        </w:rPr>
        <w:t>5(a)</w:t>
      </w:r>
      <w:r>
        <w:rPr>
          <w:rFonts w:ascii="Times New Roman" w:hAnsi="Times New Roman" w:eastAsia="Times New Roman" w:cs="Times New Roman"/>
          <w:sz w:val="24"/>
        </w:rPr>
        <w:t xml:space="preserve"> or a lock-up letter described in Section </w:t>
      </w:r>
      <w:r>
        <w:rPr>
          <w:rFonts w:ascii="Times New Roman" w:hAnsi="Times New Roman" w:eastAsia="Times New Roman" w:cs="Times New Roman"/>
          <w:sz w:val="24"/>
        </w:rPr>
        <w:t>7(o)</w:t>
      </w:r>
      <w:r>
        <w:rPr>
          <w:rFonts w:ascii="Times New Roman" w:hAnsi="Times New Roman" w:eastAsia="Times New Roman" w:cs="Times New Roman"/>
          <w:sz w:val="24"/>
        </w:rPr>
        <w:t xml:space="preserve"> hereof for an officer or director of the Company and provide the Company with notice of the impending release or waiver substantially in the form of Exhibit A hereto at least three business days before the effective date of the release or waiver, the Company agrees to announce the impending release or waiver by a press release substantially in the form of Exhibit B hereto through a major news service at least two business days before the effective date of the release or waiver.</w:t>
      </w:r>
    </w:p>
    <w:p>
      <w:pPr/>
      <w:r>
        <w:rPr>
          <w:rFonts w:ascii="Times New Roman" w:hAnsi="Times New Roman" w:eastAsia="Times New Roman" w:cs="Times New Roman"/>
          <w:sz w:val="24"/>
        </w:rPr>
        <w:t>Use of Proceeds.</w:t>
      </w:r>
      <w:r>
        <w:rPr>
          <w:rFonts w:ascii="Times New Roman" w:hAnsi="Times New Roman" w:eastAsia="Times New Roman" w:cs="Times New Roman"/>
          <w:sz w:val="24"/>
        </w:rPr>
        <w:t xml:space="preserve"> The Company will apply the net proceeds from the sale of the ADSs as described in each of the Registration Statement, the Pricing Disclosure Package and the Prospectus under the heading “Use of proceeds”.</w:t>
      </w:r>
    </w:p>
    <w:p>
      <w:pPr/>
      <w:r>
        <w:rPr>
          <w:rFonts w:ascii="Times New Roman" w:hAnsi="Times New Roman" w:eastAsia="Times New Roman" w:cs="Times New Roman"/>
          <w:sz w:val="24"/>
        </w:rPr>
        <w:t>No Stabilization.</w:t>
      </w:r>
      <w:r>
        <w:rPr>
          <w:rFonts w:ascii="Times New Roman" w:hAnsi="Times New Roman" w:eastAsia="Times New Roman" w:cs="Times New Roman"/>
          <w:sz w:val="24"/>
        </w:rPr>
        <w:t xml:space="preserve"> The Company will not take, directly or indirectly, any action designed to or that could reasonably be expected to cause or result in any stabilization or manipulation of the price of the Shares.</w:t>
      </w:r>
    </w:p>
    <w:p>
      <w:pPr/>
      <w:r>
        <w:rPr>
          <w:rFonts w:ascii="Times New Roman" w:hAnsi="Times New Roman" w:eastAsia="Times New Roman" w:cs="Times New Roman"/>
          <w:sz w:val="24"/>
        </w:rPr>
        <w:t>Exchange Listing.</w:t>
      </w:r>
      <w:r>
        <w:rPr>
          <w:rFonts w:ascii="Times New Roman" w:hAnsi="Times New Roman" w:eastAsia="Times New Roman" w:cs="Times New Roman"/>
          <w:sz w:val="24"/>
        </w:rPr>
        <w:t xml:space="preserve"> The Company will use its reasonable best efforts to list, subject to notice of issuance, the ADSs on [the New York Stock Exchange (the “NYSE”)/the Nasdaq Stock Market] and to list and trade the Shares on [EXCHANGE IN COMPANY’S HOME JURISDICTION].</w:t>
      </w:r>
    </w:p>
    <w:p>
      <w:pPr/>
      <w:r>
        <w:rPr>
          <w:rFonts w:ascii="Times New Roman" w:hAnsi="Times New Roman" w:eastAsia="Times New Roman" w:cs="Times New Roman"/>
          <w:sz w:val="24"/>
        </w:rPr>
        <w:t>Reports.</w:t>
      </w:r>
      <w:r>
        <w:rPr>
          <w:rFonts w:ascii="Times New Roman" w:hAnsi="Times New Roman" w:eastAsia="Times New Roman" w:cs="Times New Roman"/>
          <w:sz w:val="24"/>
        </w:rPr>
        <w:t xml:space="preserve"> So long as the ADSs are outstanding, the Company will furnish to the Representatives, as soon as they are available, copies of all reports or other communications (financial or other) furnished to holders of the ADSs, and copies of any reports and financial statements furnished to or filed with the SEC or any national securities exchange or automatic quotation system; </w:t>
      </w:r>
      <w:r>
        <w:rPr>
          <w:rFonts w:ascii="Times New Roman" w:hAnsi="Times New Roman" w:eastAsia="Times New Roman" w:cs="Times New Roman"/>
          <w:sz w:val="24"/>
        </w:rPr>
        <w:t>provided</w:t>
      </w:r>
      <w:r>
        <w:rPr>
          <w:rFonts w:ascii="Times New Roman" w:hAnsi="Times New Roman" w:eastAsia="Times New Roman" w:cs="Times New Roman"/>
          <w:sz w:val="24"/>
        </w:rPr>
        <w:t xml:space="preserve"> the Company will be deemed to have furnished such reports and financial statements to the Representatives to the extent they are filed on the SEC’s Electronic Data Gathering, Analysis, and Retrieval system.</w:t>
      </w:r>
    </w:p>
    <w:p>
      <w:pPr/>
      <w:r>
        <w:rPr>
          <w:rFonts w:ascii="Times New Roman" w:hAnsi="Times New Roman" w:eastAsia="Times New Roman" w:cs="Times New Roman"/>
          <w:sz w:val="24"/>
        </w:rPr>
        <w:t>Record Retention.</w:t>
      </w:r>
      <w:r>
        <w:rPr>
          <w:rFonts w:ascii="Times New Roman" w:hAnsi="Times New Roman" w:eastAsia="Times New Roman" w:cs="Times New Roman"/>
          <w:sz w:val="24"/>
        </w:rPr>
        <w:t xml:space="preserve"> The Company will, pursuant to reasonable procedures developed in good faith, retain copies of each Issuer Free Writing Prospectus that is not filed with the SEC in accordance with Rule 433 under the Securities Act.</w:t>
      </w:r>
    </w:p>
    <w:p>
      <w:pPr/>
      <w:r>
        <w:rPr>
          <w:rFonts w:ascii="Times New Roman" w:hAnsi="Times New Roman" w:eastAsia="Times New Roman" w:cs="Times New Roman"/>
          <w:sz w:val="24"/>
        </w:rPr>
        <w:t>Filings.</w:t>
      </w:r>
      <w:r>
        <w:rPr>
          <w:rFonts w:ascii="Times New Roman" w:hAnsi="Times New Roman" w:eastAsia="Times New Roman" w:cs="Times New Roman"/>
          <w:sz w:val="24"/>
        </w:rPr>
        <w:t xml:space="preserve"> The Company will file with the SEC such reports as may be required by Rule 463 under the Securities Act.</w:t>
      </w:r>
    </w:p>
    <w:p>
      <w:pPr/>
      <w:r>
        <w:rPr>
          <w:rFonts w:ascii="Times New Roman" w:hAnsi="Times New Roman" w:eastAsia="Times New Roman" w:cs="Times New Roman"/>
          <w:sz w:val="24"/>
        </w:rPr>
        <w:t>Foreign Private Issuer.</w:t>
      </w:r>
      <w:r>
        <w:rPr>
          <w:rFonts w:ascii="Times New Roman" w:hAnsi="Times New Roman" w:eastAsia="Times New Roman" w:cs="Times New Roman"/>
          <w:sz w:val="24"/>
        </w:rPr>
        <w:t xml:space="preserve"> The Company will promptly notify the Representatives if the Company ceases to be a Foreign Private Issuer at any time prior to the later of (i) completion of the distribution of ADSs within the meaning of the Securities Act and (ii) completion of the [180]-day restricted period referred to in Section </w:t>
      </w:r>
      <w:r>
        <w:rPr>
          <w:rFonts w:ascii="Times New Roman" w:hAnsi="Times New Roman" w:eastAsia="Times New Roman" w:cs="Times New Roman"/>
          <w:sz w:val="24"/>
        </w:rPr>
        <w:t>4(h)</w:t>
      </w:r>
      <w:r>
        <w:rPr>
          <w:rFonts w:ascii="Times New Roman" w:hAnsi="Times New Roman" w:eastAsia="Times New Roman" w:cs="Times New Roman"/>
          <w:sz w:val="24"/>
        </w:rPr>
        <w:t xml:space="preserve"> hereof.</w:t>
      </w:r>
    </w:p>
    <w:p>
      <w:pPr/>
      <w:r>
        <w:rPr>
          <w:rFonts w:ascii="Times New Roman" w:hAnsi="Times New Roman" w:eastAsia="Times New Roman" w:cs="Times New Roman"/>
          <w:sz w:val="24"/>
        </w:rPr>
        <w:t>Tax Indemnity.</w:t>
      </w:r>
      <w:r>
        <w:rPr>
          <w:rFonts w:ascii="Times New Roman" w:hAnsi="Times New Roman" w:eastAsia="Times New Roman" w:cs="Times New Roman"/>
          <w:sz w:val="24"/>
        </w:rPr>
        <w:t xml:space="preserve"> The Company will indemnify and hold harmless the Underwriters against any documentary, stamp, registration or similar issuance tax, or any capital gains tax, including any interest and penalties, on the creation, issue and sale of the ADSs by the Company to the Underwriters and on the execution and delivery of this Agreement. All payments to be made by the Company hereunder shall be made without withholding or deduction for or on account of any present or future taxes, duties or governmental charges whatsoever unless the Company is compelled by law to deduct or withhold such taxes, duties or charges. In that event, the Company shall pay such additional amounts as may be necessary in order to ensure that the net amounts received after such withholding or deductions shall equal the amounts that would have been received if no withholding or deduction had been made, except to the extent that such taxes, duties or charges (a) were imposed due to some present or former connection of an Underwriter with the jurisdiction imposing such taxes, duties or charges (other than any connection resulting from the transactions contemplated by this Agreement) or (b) would not have been imposed but for the failure of an Underwriter to comply with any reasonable certification, identification or other reporting requirements concerning the nationality, residence, identity or connection with the applicable taxing jurisdiction of the Underwriter if such compliance is timely requested by the Company and required or imposed by the applicable law as a precondition to an exemption from, or reduction in, such taxes, duties or other charges.</w:t>
      </w:r>
    </w:p>
    <w:p>
      <w:pPr/>
      <w:r>
        <w:rPr>
          <w:rFonts w:ascii="Times New Roman" w:hAnsi="Times New Roman" w:eastAsia="Times New Roman" w:cs="Times New Roman"/>
          <w:sz w:val="24"/>
        </w:rPr>
        <w:t>Deposit Agreement and Depositary.</w:t>
      </w:r>
      <w:r>
        <w:rPr>
          <w:rFonts w:ascii="Times New Roman" w:hAnsi="Times New Roman" w:eastAsia="Times New Roman" w:cs="Times New Roman"/>
          <w:sz w:val="24"/>
        </w:rPr>
        <w:t xml:space="preserve"> The Company will comply with the Deposit Agreement and will deposit the Underlying Shares to be sold by the Company with the Depositary by means of a book entry transfer or otherwise in accordance with the applicable mechanisms set forth by [BANK] and applicable law, on or prior to the Closing Date or the Additional Closing Date, as applicable, in accordance with the Deposit Agreement so that the ADRs evidencing the ADSs will be delivered by the Depositary to the respective accounts of the Underwriters at the Closing Date or Additional Closing Date, as applicable.</w:t>
      </w:r>
    </w:p>
    <w:p>
      <w:pPr/>
      <w:r>
        <w:rPr>
          <w:rFonts w:ascii="Times New Roman" w:hAnsi="Times New Roman" w:eastAsia="Times New Roman" w:cs="Times New Roman"/>
          <w:sz w:val="24"/>
        </w:rPr>
        <w:t>Further Agreements of the Selling Shareholders.</w:t>
      </w:r>
      <w:r>
        <w:rPr>
          <w:rFonts w:ascii="Times New Roman" w:hAnsi="Times New Roman" w:eastAsia="Times New Roman" w:cs="Times New Roman"/>
          <w:sz w:val="24"/>
        </w:rPr>
        <w:t xml:space="preserve"> Each of the Selling Shareholders covenants and agrees with each Underwriter that:</w:t>
      </w:r>
    </w:p>
    <w:p>
      <w:pPr/>
      <w:r>
        <w:rPr>
          <w:rFonts w:ascii="Times New Roman" w:hAnsi="Times New Roman" w:eastAsia="Times New Roman" w:cs="Times New Roman"/>
          <w:sz w:val="24"/>
        </w:rPr>
        <w:t>Clear Market.</w:t>
      </w:r>
      <w:r>
        <w:rPr>
          <w:rFonts w:ascii="Times New Roman" w:hAnsi="Times New Roman" w:eastAsia="Times New Roman" w:cs="Times New Roman"/>
          <w:sz w:val="24"/>
        </w:rPr>
        <w:t xml:space="preserve"> For a period of [180] days after the date of the initial public offering of the ADSs, such Selling Shareholder will not (i) offer, pledge, sell, contract to sell, sell any option or contract to purchase, purchase any option or contract to sell, grant any option, right or warrant to purchase, or otherwise transfer or dispose of, directly or indirectly, any Shares, or any securities convertible into or exercisable or exchangeable for Shares (including without limitation, Shares in the form of American Depositary Shares, or such other securities which may be deemed to be beneficially owned by such </w:t>
      </w:r>
      <w:r>
        <w:rPr>
          <w:rFonts w:ascii="Times New Roman" w:hAnsi="Times New Roman" w:eastAsia="Times New Roman" w:cs="Times New Roman"/>
          <w:sz w:val="24"/>
        </w:rPr>
        <w:t xml:space="preserve">Selling Shareholder in accordance with the rules and regulations of the SEC and securities which may be issued upon exercise of a stock option or warrant), or publicly disclose the intention to make any offer, sale, pledge or disposition, (ii) enter into any swap or other agreement that transfers, in whole or in part, any of the economic consequences of ownership of the Shares, including any Shares in the form of American Depositary Shares, or any such other securities, whether any such transaction described in clause (i) or (ii) above is to be settled by delivery of the Shares, including any Shares in the form of American Depositary Shares, or such other securities, in cash or otherwise or (iii) make any demand for or exercise any right with respect to the registration of any Shares, or any security convertible into or exercisable or exchangeable for Shares, including any Shares in the form of American Depositary Shares, without the prior written consent of the Representatives, in each case other than the (A) the ADSs to be sold by such Selling Shareholder hereunder, (B) transfers of Shares (including without limitation, Shares in the form of ADSs) or other share capital of the Company as a bona fide gift or gifts, including as a result of the operation of law or estate or intestate succession; and (C) to (1) a member of the immediate family of such Selling Shareholder (for purposes of this Agreement, “immediate family” shall mean any relationship by blood, marriage, or adoption, not more remote than first cousin), (2) any trust for the direct or indirect benefit of such Selling Shareholder or the immediate family of such Selling Shareholder, and/or charitable organizations or (3) a corporation, partnership, limited liability company or other entity of which such Selling Shareholder and the immediate family of such Selling Shareholder are the direct or indirect legal and beneficial owners of all the outstanding equity securities or similar interests of such corporation, partnership, limited liability company or other entity; </w:t>
      </w:r>
      <w:r>
        <w:rPr>
          <w:rFonts w:ascii="Times New Roman" w:hAnsi="Times New Roman" w:eastAsia="Times New Roman" w:cs="Times New Roman"/>
          <w:sz w:val="24"/>
        </w:rPr>
        <w:t>provided</w:t>
      </w:r>
      <w:r>
        <w:rPr>
          <w:rFonts w:ascii="Times New Roman" w:hAnsi="Times New Roman" w:eastAsia="Times New Roman" w:cs="Times New Roman"/>
          <w:sz w:val="24"/>
        </w:rPr>
        <w:t xml:space="preserve"> that, in the case of any transfer or distribution pursuant to clause (B) and (C), each </w:t>
      </w:r>
      <w:r>
        <w:rPr>
          <w:rFonts w:ascii="Times New Roman" w:hAnsi="Times New Roman" w:eastAsia="Times New Roman" w:cs="Times New Roman"/>
          <w:sz w:val="24"/>
        </w:rPr>
        <w:t>donee</w:t>
      </w:r>
      <w:r>
        <w:rPr>
          <w:rFonts w:ascii="Times New Roman" w:hAnsi="Times New Roman" w:eastAsia="Times New Roman" w:cs="Times New Roman"/>
          <w:sz w:val="24"/>
        </w:rPr>
        <w:t xml:space="preserve"> or </w:t>
      </w:r>
      <w:r>
        <w:rPr>
          <w:rFonts w:ascii="Times New Roman" w:hAnsi="Times New Roman" w:eastAsia="Times New Roman" w:cs="Times New Roman"/>
          <w:sz w:val="24"/>
        </w:rPr>
        <w:t>distributee</w:t>
      </w:r>
      <w:r>
        <w:rPr>
          <w:rFonts w:ascii="Times New Roman" w:hAnsi="Times New Roman" w:eastAsia="Times New Roman" w:cs="Times New Roman"/>
          <w:sz w:val="24"/>
        </w:rPr>
        <w:t xml:space="preserve"> shall execute and deliver to the Representatives a lock-up letter in the form of Exhibit C hereto; and </w:t>
      </w:r>
      <w:r>
        <w:rPr>
          <w:rFonts w:ascii="Times New Roman" w:hAnsi="Times New Roman" w:eastAsia="Times New Roman" w:cs="Times New Roman"/>
          <w:sz w:val="24"/>
        </w:rPr>
        <w:t>provided further</w:t>
      </w:r>
      <w:r>
        <w:rPr>
          <w:rFonts w:ascii="Times New Roman" w:hAnsi="Times New Roman" w:eastAsia="Times New Roman" w:cs="Times New Roman"/>
          <w:sz w:val="24"/>
        </w:rPr>
        <w:t xml:space="preserve">, that in the case of any transfer or distribution pursuant to clause (B) and (C), no filing by any party (donor, </w:t>
      </w:r>
      <w:r>
        <w:rPr>
          <w:rFonts w:ascii="Times New Roman" w:hAnsi="Times New Roman" w:eastAsia="Times New Roman" w:cs="Times New Roman"/>
          <w:sz w:val="24"/>
        </w:rPr>
        <w:t>donee</w:t>
      </w:r>
      <w:r>
        <w:rPr>
          <w:rFonts w:ascii="Times New Roman" w:hAnsi="Times New Roman" w:eastAsia="Times New Roman" w:cs="Times New Roman"/>
          <w:sz w:val="24"/>
        </w:rPr>
        <w:t>, transferor or transferee) under the Exchange Act, or other public announcement shall be required or shall be made voluntarily in connection with such transfer or distribution. If such Selling Shareholder is an officer or director of the Company, such Selling Shareholder further agrees that the foregoing provisions shall be equally applicable to any Shares such Selling Shareholder may purchase in the offering of the Shares. The provisions of this covenant shall be further subject to the terms of the lock-up agreement in substantially the form of Exhibit C hereto executed and delivered by such Selling Shareholder prior to the date hereof.</w:t>
      </w:r>
    </w:p>
    <w:p>
      <w:pPr/>
      <w:r>
        <w:rPr>
          <w:rFonts w:ascii="Times New Roman" w:hAnsi="Times New Roman" w:eastAsia="Times New Roman" w:cs="Times New Roman"/>
          <w:sz w:val="24"/>
        </w:rPr>
        <w:t>No Stabilization.</w:t>
      </w:r>
      <w:r>
        <w:rPr>
          <w:rFonts w:ascii="Times New Roman" w:hAnsi="Times New Roman" w:eastAsia="Times New Roman" w:cs="Times New Roman"/>
          <w:sz w:val="24"/>
        </w:rPr>
        <w:t xml:space="preserve"> Such Selling Shareholder will not take, directly or indirectly, any action designed to or that could reasonably be expected to cause or result in any stabilization or manipulation of the price of the ADSs.</w:t>
      </w:r>
    </w:p>
    <w:p>
      <w:pPr/>
      <w:r>
        <w:rPr>
          <w:rFonts w:ascii="Times New Roman" w:hAnsi="Times New Roman" w:eastAsia="Times New Roman" w:cs="Times New Roman"/>
          <w:sz w:val="24"/>
        </w:rPr>
        <w:t>Tax Form.</w:t>
      </w:r>
      <w:r>
        <w:rPr>
          <w:rFonts w:ascii="Times New Roman" w:hAnsi="Times New Roman" w:eastAsia="Times New Roman" w:cs="Times New Roman"/>
          <w:sz w:val="24"/>
        </w:rPr>
        <w:t xml:space="preserve"> It will deliver to the Representatives prior to or at the Closing Date a properly completed and executed United States Treasury Department Form W-9, W-8BEN or W-8BEN-E (or other applicable form or statement specified by the Treasury Department regulations in lieu thereof) in order to facilitate the Underwriters’ documentation of their compliance with the reporting and withholding provisions of the Tax Equity and Fiscal Responsibility Act of 1982 with respect to the transactions herein contemplated.</w:t>
      </w:r>
    </w:p>
    <w:p>
      <w:pPr/>
      <w:r>
        <w:rPr>
          <w:rFonts w:ascii="Times New Roman" w:hAnsi="Times New Roman" w:eastAsia="Times New Roman" w:cs="Times New Roman"/>
          <w:sz w:val="24"/>
        </w:rPr>
        <w:t>Tax Indemnity.</w:t>
      </w:r>
      <w:r>
        <w:rPr>
          <w:rFonts w:ascii="Times New Roman" w:hAnsi="Times New Roman" w:eastAsia="Times New Roman" w:cs="Times New Roman"/>
          <w:sz w:val="24"/>
        </w:rPr>
        <w:t xml:space="preserve"> It will indemnify and hold harmless the Underwriters against any documentary, stamp, registration or similar issuance tax, or any capital gains tax, including any interest and penalties, on the creation, issue and sale of the ADSs by such Selling Shareholder to the Underwriters and on the execution and delivery of this Agreement. All payments to be made by such Selling Shareholder hereunder shall be made without withholding or deduction for or on account of any present or future taxes, duties or governmental charges whatsoever unless such Selling Shareholder is compelled by law to deduct or withhold such taxes, duties or charges. In that event, such Selling Shareholder shall pay such additional amounts as may be necessary in order to ensure that the net amounts received after such withholding or deductions shall equal the amounts that would have been received if no withholding or deduction had been made, except to the extent that such taxes, duties or charges (a) were imposed due to some present or former connection of an Underwriter with the jurisdiction imposing such taxes, duties or charges (other than any connection resulting from the transactions contemplated by this Agreement) or (b) would not have been imposed but for the failure of an Underwriter to comply with any reasonable certification, identification or other reporting requirements concerning the nationality, residence, identity or connection with the applicable taxing jurisdiction of the Underwriter if such compliance is timely requested by such Selling Shareholder and required or imposed by the applicable law as a precondition to an exemption from, or reduction in, such taxes, duties or other charges.</w:t>
      </w:r>
    </w:p>
    <w:p>
      <w:pPr/>
      <w:r>
        <w:rPr>
          <w:rFonts w:ascii="Times New Roman" w:hAnsi="Times New Roman" w:eastAsia="Times New Roman" w:cs="Times New Roman"/>
          <w:sz w:val="24"/>
        </w:rPr>
        <w:t>Use of Proceeds.</w:t>
      </w:r>
      <w:r>
        <w:rPr>
          <w:rFonts w:ascii="Times New Roman" w:hAnsi="Times New Roman" w:eastAsia="Times New Roman" w:cs="Times New Roman"/>
          <w:sz w:val="24"/>
        </w:rPr>
        <w:t xml:space="preserve"> It will not directly or indirectly use the proceeds of the offering of the ADSs hereunder, or lend, contribute or otherwise make available such proceeds to a subsidiary, joint venture partner or other person or entity (i) to fund or facilitate any activities of or business with any person that, at the time of such funding or facilitation, is the subject of target of Sanctions, (ii) to fund or facilitate any activities of or business in any Sanctioned Country or (iii) in any other manner that will result in a violation by any person (including any person participating in the transaction, whether as underwriter, advisor, investor or otherwise) of Sanctions.</w:t>
      </w:r>
    </w:p>
    <w:p>
      <w:pPr/>
      <w:r>
        <w:rPr>
          <w:rFonts w:ascii="Times New Roman" w:hAnsi="Times New Roman" w:eastAsia="Times New Roman" w:cs="Times New Roman"/>
          <w:sz w:val="24"/>
        </w:rPr>
        <w:t>Certain Agreements of the Underwriters.</w:t>
      </w:r>
      <w:r>
        <w:rPr>
          <w:rFonts w:ascii="Times New Roman" w:hAnsi="Times New Roman" w:eastAsia="Times New Roman" w:cs="Times New Roman"/>
          <w:sz w:val="24"/>
        </w:rPr>
        <w:t xml:space="preserve"> Each Underwriter hereby represents and agrees that:</w:t>
      </w:r>
    </w:p>
    <w:p>
      <w:pPr/>
      <w:r>
        <w:rPr>
          <w:rFonts w:ascii="Times New Roman" w:hAnsi="Times New Roman" w:eastAsia="Times New Roman" w:cs="Times New Roman"/>
          <w:sz w:val="24"/>
        </w:rPr>
        <w:t xml:space="preserve">It has not and will not use, authorize use of, refer to or participate in the planning for use of, any “free writing prospectus”, as defined in Rule 405 under the Securities Act (which term includes use of any written information furnished to the SEC by the Company and not incorporated by reference into the Registration Statement and any press release issued by the Company) other than (i) a free writing prospectus that contains no “issuer information” (as defined in Rule 433(h)(2) under the Securities Act) that was not included (including through incorporation by reference) in the Preliminary Prospectus or a previously filed Issuer Free Writing Prospectus, (ii) any Issuer Free Writing Prospectus listed on Annex A or prepared pursuant to Section </w:t>
      </w:r>
      <w:r>
        <w:rPr>
          <w:rFonts w:ascii="Times New Roman" w:hAnsi="Times New Roman" w:eastAsia="Times New Roman" w:cs="Times New Roman"/>
          <w:sz w:val="24"/>
        </w:rPr>
        <w:t>3(c)</w:t>
      </w:r>
      <w:r>
        <w:rPr>
          <w:rFonts w:ascii="Times New Roman" w:hAnsi="Times New Roman" w:eastAsia="Times New Roman" w:cs="Times New Roman"/>
          <w:sz w:val="24"/>
        </w:rPr>
        <w:t xml:space="preserve"> or Section </w:t>
      </w:r>
      <w:r>
        <w:rPr>
          <w:rFonts w:ascii="Times New Roman" w:hAnsi="Times New Roman" w:eastAsia="Times New Roman" w:cs="Times New Roman"/>
          <w:sz w:val="24"/>
        </w:rPr>
        <w:t>4(f)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above (including any electronic road show), (iii) any free writing prospectus prepared by such underwriter and approved by the Company in advance in writing (each such free writing prospectus referred to in clauses (i) or (iii), an </w:t>
      </w:r>
      <w:r>
        <w:rPr>
          <w:rFonts w:ascii="Times New Roman" w:hAnsi="Times New Roman" w:eastAsia="Times New Roman" w:cs="Times New Roman"/>
          <w:sz w:val="24"/>
        </w:rPr>
        <w:t>“</w:t>
      </w:r>
      <w:r>
        <w:rPr>
          <w:rFonts w:ascii="Times New Roman" w:hAnsi="Times New Roman" w:eastAsia="Times New Roman" w:cs="Times New Roman"/>
          <w:sz w:val="24"/>
        </w:rPr>
        <w:t>Underwriter Free Writing Prospectus</w:t>
      </w:r>
      <w:r>
        <w:rPr>
          <w:rFonts w:ascii="Times New Roman" w:hAnsi="Times New Roman" w:eastAsia="Times New Roman" w:cs="Times New Roman"/>
          <w:sz w:val="24"/>
        </w:rPr>
        <w:t>”), or (iv) the [COMPANY’S HOME JURISDICTION] Prospectus exclusively in [COMPANY’S HOME JURISDICTION].</w:t>
      </w:r>
    </w:p>
    <w:p>
      <w:pPr/>
      <w:r>
        <w:rPr>
          <w:rFonts w:ascii="Times New Roman" w:hAnsi="Times New Roman" w:eastAsia="Times New Roman" w:cs="Times New Roman"/>
          <w:sz w:val="24"/>
        </w:rPr>
        <w:t>It has not and will not, without the prior written consent of the Company, use any free writing prospectus that contains the final terms of the ADSs unless such terms have previously been included in a free writing prospectus filed with the SEC.</w:t>
      </w:r>
    </w:p>
    <w:p>
      <w:pPr/>
      <w:r>
        <w:rPr>
          <w:rFonts w:ascii="Times New Roman" w:hAnsi="Times New Roman" w:eastAsia="Times New Roman" w:cs="Times New Roman"/>
          <w:sz w:val="24"/>
        </w:rPr>
        <w:t>It is not subject to any pending proceeding under Section 8A of the Securities Act with respect to the offering (and will promptly notify the Company and the Selling Shareholders if any such proceeding against it is initiated during the Prospectus Delivery Period).</w:t>
      </w:r>
    </w:p>
    <w:p>
      <w:pPr/>
      <w:r>
        <w:rPr>
          <w:rFonts w:ascii="Times New Roman" w:hAnsi="Times New Roman" w:eastAsia="Times New Roman" w:cs="Times New Roman"/>
          <w:sz w:val="24"/>
        </w:rPr>
        <w:t>Conditions of Underwriters’ Obligations.</w:t>
      </w:r>
      <w:r>
        <w:rPr>
          <w:rFonts w:ascii="Times New Roman" w:hAnsi="Times New Roman" w:eastAsia="Times New Roman" w:cs="Times New Roman"/>
          <w:sz w:val="24"/>
        </w:rPr>
        <w:t xml:space="preserve"> The obligation of each Underwriter to purchase the Underwritten ADSs on the Closing Date or the Option ADSs on the Additional Closing Date, as the case may be, as provided herein is subject to the performance by the Company [and each of the Selling Shareholders ]of [its/their respective] covenants and other obligations hereunder and to the following additional conditions:</w:t>
      </w:r>
    </w:p>
    <w:p>
      <w:pPr/>
      <w:r>
        <w:rPr>
          <w:rFonts w:ascii="Times New Roman" w:hAnsi="Times New Roman" w:eastAsia="Times New Roman" w:cs="Times New Roman"/>
          <w:sz w:val="24"/>
        </w:rPr>
        <w:t>Registration Compliance; No Stop Order.</w:t>
      </w:r>
      <w:r>
        <w:rPr>
          <w:rFonts w:ascii="Times New Roman" w:hAnsi="Times New Roman" w:eastAsia="Times New Roman" w:cs="Times New Roman"/>
          <w:sz w:val="24"/>
        </w:rPr>
        <w:t xml:space="preserve"> No order suspending the effectiveness of the Registration Statement shall be in effect, and no proceeding for such purpose or pursuant to Section 8A under the Securities Act shall be pending before or threatened by the SEC; the Prospectus and each Issuer Free Writing Prospectus shall have been timely filed with the SEC under the Securities Act (in the case of an Issuer Free Writing Prospectus, to the extent required by Rule 433 under the Securities Act) and in accordance with Section </w:t>
      </w:r>
      <w:r>
        <w:rPr>
          <w:rFonts w:ascii="Times New Roman" w:hAnsi="Times New Roman" w:eastAsia="Times New Roman" w:cs="Times New Roman"/>
          <w:sz w:val="24"/>
        </w:rPr>
        <w:t>4(a)</w:t>
      </w:r>
      <w:r>
        <w:rPr>
          <w:rFonts w:ascii="Times New Roman" w:hAnsi="Times New Roman" w:eastAsia="Times New Roman" w:cs="Times New Roman"/>
          <w:sz w:val="24"/>
        </w:rPr>
        <w:t xml:space="preserve"> hereof; and all requests by the SEC for additional information shall have been complied with to the reasonable satisfaction of the Representatives.</w:t>
      </w:r>
    </w:p>
    <w:p>
      <w:pPr/>
      <w:r>
        <w:rPr>
          <w:rFonts w:ascii="Times New Roman" w:hAnsi="Times New Roman" w:eastAsia="Times New Roman" w:cs="Times New Roman"/>
          <w:sz w:val="24"/>
        </w:rPr>
        <w:t>Representations and Warranties.</w:t>
      </w:r>
      <w:r>
        <w:rPr>
          <w:rFonts w:ascii="Times New Roman" w:hAnsi="Times New Roman" w:eastAsia="Times New Roman" w:cs="Times New Roman"/>
          <w:sz w:val="24"/>
        </w:rPr>
        <w:t xml:space="preserve"> The respective representations and warranties of the Company and the Selling Shareholders contained herein shall be true and correct on the date hereof and on and as of the Closing Date or the Additional Closing Date, as the case may be; and the statements of the Company and its officers [and of each of the Selling Shareholders ]made in any certificates delivered pursuant to this Agreement shall be true and correct on and as of the Closing Date or the Additional Closing Date, as the case may be.</w:t>
      </w:r>
    </w:p>
    <w:p>
      <w:pPr/>
      <w:r>
        <w:rPr>
          <w:rFonts w:ascii="Times New Roman" w:hAnsi="Times New Roman" w:eastAsia="Times New Roman" w:cs="Times New Roman"/>
          <w:sz w:val="24"/>
        </w:rPr>
        <w:t>No Downgrade.</w:t>
      </w:r>
      <w:r>
        <w:rPr>
          <w:rFonts w:ascii="Times New Roman" w:hAnsi="Times New Roman" w:eastAsia="Times New Roman" w:cs="Times New Roman"/>
          <w:sz w:val="24"/>
        </w:rPr>
        <w:t xml:space="preserve"> Subsequent to the earlier of (A) the Applicable Time and (B) the execution and delivery of this Agreement, if there are any debt securities or preferred shares of or guaranteed by the Company or any of its subsidiaries that are rated by a “nationally recognized statistical rating organization”, as such term is defined under Section </w:t>
      </w:r>
      <w:r>
        <w:rPr>
          <w:rFonts w:ascii="Times New Roman" w:hAnsi="Times New Roman" w:eastAsia="Times New Roman" w:cs="Times New Roman"/>
          <w:sz w:val="24"/>
        </w:rPr>
        <w:t>3(a)</w:t>
      </w:r>
      <w:r>
        <w:rPr>
          <w:rFonts w:ascii="Times New Roman" w:hAnsi="Times New Roman" w:eastAsia="Times New Roman" w:cs="Times New Roman"/>
          <w:sz w:val="24"/>
        </w:rPr>
        <w:t>(62) under the Exchange Act, (i) no downgrading shall have occurred in the rating accorded any such debt securities or preferred stock and (ii) no such organization shall have publicly announced that it has under surveillance or review, or has changed its outlook with respect to, its rating of any such debt securities or preferred shares (other than an announcement with positive implications of a possible upgrading).</w:t>
      </w:r>
    </w:p>
    <w:p>
      <w:pPr/>
      <w:r>
        <w:rPr>
          <w:rFonts w:ascii="Times New Roman" w:hAnsi="Times New Roman" w:eastAsia="Times New Roman" w:cs="Times New Roman"/>
          <w:sz w:val="24"/>
        </w:rPr>
        <w:t>No Material Adverse Change.</w:t>
      </w:r>
      <w:r>
        <w:rPr>
          <w:rFonts w:ascii="Times New Roman" w:hAnsi="Times New Roman" w:eastAsia="Times New Roman" w:cs="Times New Roman"/>
          <w:sz w:val="24"/>
        </w:rPr>
        <w:t xml:space="preserve"> No event or condition of a type described in Section </w:t>
      </w:r>
      <w:r>
        <w:rPr>
          <w:rFonts w:ascii="Times New Roman" w:hAnsi="Times New Roman" w:eastAsia="Times New Roman" w:cs="Times New Roman"/>
          <w:sz w:val="24"/>
        </w:rPr>
        <w:t>3(h)</w:t>
      </w:r>
      <w:r>
        <w:rPr>
          <w:rFonts w:ascii="Times New Roman" w:hAnsi="Times New Roman" w:eastAsia="Times New Roman" w:cs="Times New Roman"/>
          <w:sz w:val="24"/>
        </w:rPr>
        <w:t xml:space="preserve"> hereof shall have occurred or shall exist, which event or condition is not described in the Pricing Disclosure Package (excluding any amendment or supplement thereto) </w:t>
      </w:r>
      <w:r>
        <w:rPr>
          <w:rFonts w:ascii="Times New Roman" w:hAnsi="Times New Roman" w:eastAsia="Times New Roman" w:cs="Times New Roman"/>
          <w:sz w:val="24"/>
        </w:rPr>
        <w:t>and the Prospectus (excluding any amendment or supplement thereto) and the effect of which in the judgment of the Representatives makes it impracticable or inadvisable to proceed with the offering, sale or delivery of the ADSs on the Closing Date or the Additional Closing Date, as the case may be, on the terms and in the manner contemplated by this Agreement, the Pricing Disclosure Package and the Prospectus.</w:t>
      </w:r>
    </w:p>
    <w:p>
      <w:pPr/>
      <w:r>
        <w:rPr>
          <w:rFonts w:ascii="Times New Roman" w:hAnsi="Times New Roman" w:eastAsia="Times New Roman" w:cs="Times New Roman"/>
          <w:sz w:val="24"/>
        </w:rPr>
        <w:t>Officer’s Certificate.</w:t>
      </w:r>
      <w:r>
        <w:rPr>
          <w:rFonts w:ascii="Times New Roman" w:hAnsi="Times New Roman" w:eastAsia="Times New Roman" w:cs="Times New Roman"/>
          <w:sz w:val="24"/>
        </w:rPr>
        <w:t xml:space="preserve"> The Representatives shall have received on and as of the Closing Date or the Additional Closing Date, as the case may be [(x)] a certificate of the chief financial officer or chief accounting officer of the Company and one additional senior executive officer of the Company who is satisfactory to the Representatives (i) confirming that such officers have carefully reviewed the Registration Statement, the Pricing Disclosure Package and the Prospectus and, to the knowledge of such officers, the representations of the Company set forth in Sections </w:t>
      </w:r>
      <w:r>
        <w:rPr>
          <w:rFonts w:ascii="Times New Roman" w:hAnsi="Times New Roman" w:eastAsia="Times New Roman" w:cs="Times New Roman"/>
          <w:sz w:val="24"/>
        </w:rPr>
        <w:t>3(a)</w:t>
      </w:r>
      <w:r>
        <w:rPr>
          <w:rFonts w:ascii="Times New Roman" w:hAnsi="Times New Roman" w:eastAsia="Times New Roman" w:cs="Times New Roman"/>
          <w:sz w:val="24"/>
        </w:rPr>
        <w:t xml:space="preserve">, </w:t>
      </w:r>
      <w:r>
        <w:rPr>
          <w:rFonts w:ascii="Times New Roman" w:hAnsi="Times New Roman" w:eastAsia="Times New Roman" w:cs="Times New Roman"/>
          <w:sz w:val="24"/>
        </w:rPr>
        <w:t>3(b)</w:t>
      </w:r>
      <w:r>
        <w:rPr>
          <w:rFonts w:ascii="Times New Roman" w:hAnsi="Times New Roman" w:eastAsia="Times New Roman" w:cs="Times New Roman"/>
          <w:sz w:val="24"/>
        </w:rPr>
        <w:t xml:space="preserve">, </w:t>
      </w:r>
      <w:r>
        <w:rPr>
          <w:rFonts w:ascii="Times New Roman" w:hAnsi="Times New Roman" w:eastAsia="Times New Roman" w:cs="Times New Roman"/>
          <w:sz w:val="24"/>
        </w:rPr>
        <w:t>3(c)</w:t>
      </w:r>
      <w:r>
        <w:rPr>
          <w:rFonts w:ascii="Times New Roman" w:hAnsi="Times New Roman" w:eastAsia="Times New Roman" w:cs="Times New Roman"/>
          <w:sz w:val="24"/>
        </w:rPr>
        <w:t xml:space="preserve"> and </w:t>
      </w:r>
      <w:r>
        <w:rPr>
          <w:rFonts w:ascii="Times New Roman" w:hAnsi="Times New Roman" w:eastAsia="Times New Roman" w:cs="Times New Roman"/>
          <w:sz w:val="24"/>
        </w:rPr>
        <w:t>3(d)</w:t>
      </w:r>
      <w:r>
        <w:rPr>
          <w:rFonts w:ascii="Times New Roman" w:hAnsi="Times New Roman" w:eastAsia="Times New Roman" w:cs="Times New Roman"/>
          <w:sz w:val="24"/>
        </w:rPr>
        <w:t xml:space="preserve"> are true and correct, (ii) confirming that the other representations and warranties of the Company in this Agreement are true and correct and that the Company has complied with all agreements and satisfied all conditions on its part to be performed or satisfied hereunder at or prior to the Closing Date or the Additional Closing Date, as the case may be and (iii) to the effect set forth in paragraphs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 xml:space="preserve"> and </w:t>
      </w:r>
      <w:r>
        <w:rPr>
          <w:rFonts w:ascii="Times New Roman" w:hAnsi="Times New Roman" w:eastAsia="Times New Roman" w:cs="Times New Roman"/>
          <w:sz w:val="24"/>
        </w:rPr>
        <w:t>(d)</w:t>
      </w:r>
      <w:r>
        <w:rPr>
          <w:rFonts w:ascii="Times New Roman" w:hAnsi="Times New Roman" w:eastAsia="Times New Roman" w:cs="Times New Roman"/>
          <w:sz w:val="24"/>
        </w:rPr>
        <w:t xml:space="preserve"> above[ and (y) a certificate of each of the Selling Shareholders, in form and substance reasonably satisfactory to the Representatives, (A) confirming that the representations of such Selling Shareholder set forth in Sections </w:t>
      </w:r>
      <w:r>
        <w:rPr>
          <w:rFonts w:ascii="Times New Roman" w:hAnsi="Times New Roman" w:eastAsia="Times New Roman" w:cs="Times New Roman"/>
          <w:sz w:val="24"/>
        </w:rPr>
        <w:t>4(e)</w:t>
      </w:r>
      <w:r>
        <w:rPr>
          <w:rFonts w:ascii="Times New Roman" w:hAnsi="Times New Roman" w:eastAsia="Times New Roman" w:cs="Times New Roman"/>
          <w:sz w:val="24"/>
        </w:rPr>
        <w:t xml:space="preserve">, </w:t>
      </w:r>
      <w:r>
        <w:rPr>
          <w:rFonts w:ascii="Times New Roman" w:hAnsi="Times New Roman" w:eastAsia="Times New Roman" w:cs="Times New Roman"/>
          <w:sz w:val="24"/>
        </w:rPr>
        <w:t>4(f)</w:t>
      </w:r>
      <w:r>
        <w:rPr>
          <w:rFonts w:ascii="Times New Roman" w:hAnsi="Times New Roman" w:eastAsia="Times New Roman" w:cs="Times New Roman"/>
          <w:sz w:val="24"/>
        </w:rPr>
        <w:t xml:space="preserve"> and </w:t>
      </w:r>
      <w:r>
        <w:rPr>
          <w:rFonts w:ascii="Times New Roman" w:hAnsi="Times New Roman" w:eastAsia="Times New Roman" w:cs="Times New Roman"/>
          <w:sz w:val="24"/>
        </w:rPr>
        <w:t>4(g)</w:t>
      </w:r>
      <w:r>
        <w:rPr>
          <w:rFonts w:ascii="Times New Roman" w:hAnsi="Times New Roman" w:eastAsia="Times New Roman" w:cs="Times New Roman"/>
          <w:sz w:val="24"/>
        </w:rPr>
        <w:t xml:space="preserve"> hereof is true and correct and (B) confirming that the other representations and warranties of such Selling Shareholder in this agreement are true and correct and that such Selling Shareholder has complied with all agreements and satisfied all conditions on their part to be performed or satisfied hereunder at or prior to such Closing Date].</w:t>
      </w:r>
    </w:p>
    <w:p>
      <w:pPr/>
      <w:r>
        <w:rPr>
          <w:rFonts w:ascii="Times New Roman" w:hAnsi="Times New Roman" w:eastAsia="Times New Roman" w:cs="Times New Roman"/>
          <w:sz w:val="24"/>
        </w:rPr>
        <w:t>Comfort Letters.</w:t>
      </w:r>
      <w:r>
        <w:rPr>
          <w:rFonts w:ascii="Times New Roman" w:hAnsi="Times New Roman" w:eastAsia="Times New Roman" w:cs="Times New Roman"/>
          <w:sz w:val="24"/>
        </w:rPr>
        <w:t xml:space="preserve"> (i) On the date of this Agreement and on the Closing Date or the Additional Closing Date, as the case may be, [AUDITOR] shall have furnished to the Representatives, at the request of the Company, letters, dated the respective dates of delivery thereof and addressed to the Underwriters, in form and substance reasonably satisfactory to the Representatives, containing statements and information of the type customarily included in accountants’ “comfort letters” to underwriters with respect to the financial statements and certain financial information contained or incorporated by reference in each of the Registration Statement, the Pricing Disclosure Package and the Prospectus; provided that the letter delivered on the Closing Date or the Additional Closing Date, as the case may be, shall use a “cut-off” date no more than three business days prior to such Closing Date or such Additional Closing Date, as the case may be.</w:t>
      </w:r>
    </w:p>
    <w:p>
      <w:pPr/>
      <w:r>
        <w:rPr>
          <w:rFonts w:ascii="Times New Roman" w:hAnsi="Times New Roman" w:eastAsia="Times New Roman" w:cs="Times New Roman"/>
          <w:sz w:val="24"/>
        </w:rPr>
        <w:t>Opinion and 10b-5 Statement of U.S. Counsel for the Company</w:t>
      </w:r>
      <w:r>
        <w:rPr>
          <w:rFonts w:ascii="Times New Roman" w:hAnsi="Times New Roman" w:eastAsia="Times New Roman" w:cs="Times New Roman"/>
          <w:sz w:val="24"/>
        </w:rPr>
        <w:t xml:space="preserve"> </w:t>
      </w:r>
      <w:r>
        <w:rPr>
          <w:rFonts w:ascii="Times New Roman" w:hAnsi="Times New Roman" w:eastAsia="Times New Roman" w:cs="Times New Roman"/>
          <w:sz w:val="24"/>
        </w:rPr>
        <w:t>[and the Selling Shareholders/and U.S. Counsel for the Selling Shareholders].</w:t>
      </w:r>
      <w:r>
        <w:rPr>
          <w:rFonts w:ascii="Times New Roman" w:hAnsi="Times New Roman" w:eastAsia="Times New Roman" w:cs="Times New Roman"/>
          <w:sz w:val="24"/>
        </w:rPr>
        <w:t xml:space="preserve"> </w:t>
      </w:r>
      <w:r>
        <w:rPr>
          <w:rFonts w:ascii="Times New Roman" w:hAnsi="Times New Roman" w:eastAsia="Times New Roman" w:cs="Times New Roman"/>
          <w:sz w:val="24"/>
        </w:rPr>
        <w:t>[COUNSEL], U.S. counsel for the Company[ and the Selling Shareholders/and [COUNSEL], U.S. counsel for the Selling Shareholders], shall [each] have furnished to the Representatives, at the request of the Company, their written opinion and 10b-5 statement, dated the Closing Date or the Additional Closing Date, as the case may be, and addressed to the Underwriters, in form and substance reasonably satisfactory to the Representatives, to the effect set forth in Annex B-1 hereto.</w:t>
      </w:r>
    </w:p>
    <w:p>
      <w:pPr/>
      <w:r>
        <w:rPr>
          <w:rFonts w:ascii="Times New Roman" w:hAnsi="Times New Roman" w:eastAsia="Times New Roman" w:cs="Times New Roman"/>
          <w:sz w:val="24"/>
        </w:rPr>
        <w:t xml:space="preserve">Opinion and 10b-5 Statement of [COMPANY’S HOME JURISDICTION] Counsel for the </w:t>
      </w:r>
      <w:r>
        <w:rPr>
          <w:rFonts w:ascii="Times New Roman" w:hAnsi="Times New Roman" w:eastAsia="Times New Roman" w:cs="Times New Roman"/>
          <w:sz w:val="24"/>
        </w:rPr>
        <w:t>Company [</w:t>
      </w:r>
      <w:r>
        <w:rPr>
          <w:rFonts w:ascii="Times New Roman" w:hAnsi="Times New Roman" w:eastAsia="Times New Roman" w:cs="Times New Roman"/>
          <w:sz w:val="24"/>
        </w:rPr>
        <w:t xml:space="preserve">and the Selling Shareholders/and [COMPANY’S </w:t>
      </w:r>
      <w:r>
        <w:rPr>
          <w:rFonts w:ascii="Times New Roman" w:hAnsi="Times New Roman" w:eastAsia="Times New Roman" w:cs="Times New Roman"/>
          <w:sz w:val="24"/>
        </w:rPr>
        <w:t>HOME JURISDICTION] Counsel for the Selling Shareholders].</w:t>
      </w:r>
      <w:r>
        <w:rPr>
          <w:rFonts w:ascii="Times New Roman" w:hAnsi="Times New Roman" w:eastAsia="Times New Roman" w:cs="Times New Roman"/>
          <w:sz w:val="24"/>
        </w:rPr>
        <w:t xml:space="preserve"> </w:t>
      </w:r>
      <w:r>
        <w:rPr>
          <w:rFonts w:ascii="Times New Roman" w:hAnsi="Times New Roman" w:eastAsia="Times New Roman" w:cs="Times New Roman"/>
          <w:sz w:val="24"/>
        </w:rPr>
        <w:t>[COUNSEL], [COMPANY’S HOME JURISDICTION] counsel for the Company[ and the Selling Shareholders/and [COUNSEL], [COMPANY’S HOME JURISDICTION] counsel for the Selling Shareholders], shall [each] have furnished to the Representatives, at the request of the Company, their written opinion and 10b-5 statement, dated the Closing Date or the Additional Closing Date[ and the Selling Shareholders], as the case may be, and addressed to the Underwriters, in form and substance reasonably satisfactory to the Representatives, to the effect set forth in Annex B-2 hereto.</w:t>
      </w:r>
    </w:p>
    <w:p>
      <w:pPr/>
      <w:r>
        <w:rPr>
          <w:rFonts w:ascii="Times New Roman" w:hAnsi="Times New Roman" w:eastAsia="Times New Roman" w:cs="Times New Roman"/>
          <w:sz w:val="24"/>
        </w:rPr>
        <w:t>Opinion and 10b-5 Statement of U.S. Counsel for the Underwriters.</w:t>
      </w:r>
      <w:r>
        <w:rPr>
          <w:rFonts w:ascii="Times New Roman" w:hAnsi="Times New Roman" w:eastAsia="Times New Roman" w:cs="Times New Roman"/>
          <w:sz w:val="24"/>
        </w:rPr>
        <w:t xml:space="preserve"> The Representatives shall have received on and as of the Closing Date or the Additional Closing Date, as the case may be, an opinion and 10b-5 statement of [COUNSEL], U.S. counsel for the Underwriters, with respect to such matters as the Representatives may reasonably request, and such counsel shall have received such documents and information as they may reasonably request to enable them to pass upon such matters.</w:t>
      </w:r>
    </w:p>
    <w:p>
      <w:pPr/>
      <w:r>
        <w:rPr>
          <w:rFonts w:ascii="Times New Roman" w:hAnsi="Times New Roman" w:eastAsia="Times New Roman" w:cs="Times New Roman"/>
          <w:sz w:val="24"/>
        </w:rPr>
        <w:t>Opinion and 10b-5 Statement of [</w:t>
      </w:r>
      <w:r>
        <w:rPr>
          <w:rFonts w:ascii="Times New Roman" w:hAnsi="Times New Roman" w:eastAsia="Times New Roman" w:cs="Times New Roman"/>
          <w:sz w:val="24"/>
        </w:rPr>
        <w:t>COMPANY’S HOME JURISDICTION</w:t>
      </w:r>
      <w:r>
        <w:rPr>
          <w:rFonts w:ascii="Times New Roman" w:hAnsi="Times New Roman" w:eastAsia="Times New Roman" w:cs="Times New Roman"/>
          <w:sz w:val="24"/>
        </w:rPr>
        <w:t>] Counsel for the Underwriters.</w:t>
      </w:r>
      <w:r>
        <w:rPr>
          <w:rFonts w:ascii="Times New Roman" w:hAnsi="Times New Roman" w:eastAsia="Times New Roman" w:cs="Times New Roman"/>
          <w:sz w:val="24"/>
        </w:rPr>
        <w:t xml:space="preserve"> </w:t>
      </w:r>
      <w:r>
        <w:rPr>
          <w:rFonts w:ascii="Times New Roman" w:hAnsi="Times New Roman" w:eastAsia="Times New Roman" w:cs="Times New Roman"/>
          <w:sz w:val="24"/>
        </w:rPr>
        <w:t>The Representatives shall have received on and as of the Closing Date or the Additional Closing Date, as the case may be, an opinion and 10b-5 statement of [COUNSEL], [COMPANY’S HOME JURISDICTION] counsel for the Underwriters, with respect to such matters as the Representatives may reasonably request, and such counsel shall have received such documents and information as they may reasonably request to enable them to pass upon such matters.</w:t>
      </w:r>
    </w:p>
    <w:p>
      <w:pPr/>
      <w:r>
        <w:rPr>
          <w:rFonts w:ascii="Times New Roman" w:hAnsi="Times New Roman" w:eastAsia="Times New Roman" w:cs="Times New Roman"/>
          <w:sz w:val="24"/>
        </w:rPr>
        <w:t>Opinion of Counsel for the Depositary.</w:t>
      </w:r>
      <w:r>
        <w:rPr>
          <w:rFonts w:ascii="Times New Roman" w:hAnsi="Times New Roman" w:eastAsia="Times New Roman" w:cs="Times New Roman"/>
          <w:sz w:val="24"/>
        </w:rPr>
        <w:t xml:space="preserve"> [COUNSEL], counsel for the Depositary, shall have furnished to the Representatives, at the request of the Depositary, their written opinion, dated the Closing Date or the Additional Closing Date, as the case may be, and addressed to the Underwriters, in form and substance reasonably satisfactory to the Representatives, to the effect set forth in Annex B-3.</w:t>
      </w:r>
    </w:p>
    <w:p>
      <w:pPr/>
      <w:r>
        <w:rPr>
          <w:rFonts w:ascii="Times New Roman" w:hAnsi="Times New Roman" w:eastAsia="Times New Roman" w:cs="Times New Roman"/>
          <w:sz w:val="24"/>
        </w:rPr>
        <w:t>No Legal Impediment to Issuance and/or Sale.</w:t>
      </w:r>
      <w:r>
        <w:rPr>
          <w:rFonts w:ascii="Times New Roman" w:hAnsi="Times New Roman" w:eastAsia="Times New Roman" w:cs="Times New Roman"/>
          <w:sz w:val="24"/>
        </w:rPr>
        <w:t xml:space="preserve"> No action shall have been taken and no statute, rule, regulation or order shall have been enacted, adopted or issued by any federal, state or foreign governmental or regulatory authority that would, as of the Closing Date or the Additional Closing Date, as the case may be, prevent the issuance or sale of the ADSs by the Company or the sale of the ADSs by the Selling Shareholders; and no injunction or order of any federal, state or foreign court shall have been issued that would, as of the Closing Date or the Additional Closing Date, as the case may be, prevent the issuance or sale of the ADSs by the Company[ or the sale of the ADSs by the Selling Shareholders].</w:t>
      </w:r>
    </w:p>
    <w:p>
      <w:pPr/>
      <w:r>
        <w:rPr>
          <w:rFonts w:ascii="Times New Roman" w:hAnsi="Times New Roman" w:eastAsia="Times New Roman" w:cs="Times New Roman"/>
          <w:sz w:val="24"/>
        </w:rPr>
        <w:t>Good Standing.</w:t>
      </w:r>
      <w:r>
        <w:rPr>
          <w:rFonts w:ascii="Times New Roman" w:hAnsi="Times New Roman" w:eastAsia="Times New Roman" w:cs="Times New Roman"/>
          <w:sz w:val="24"/>
        </w:rPr>
        <w:t xml:space="preserve"> The Representatives shall have received on and as of the Closing Date or the Additional Closing Date, as the case may be, satisfactory evidence of the good standing of the Company and its subsidiaries in their respective jurisdictions of organization and their good standing (to the extent applicable) in such other jurisdictions as the Representatives may reasonably request, in each case in writing or any standard form of telecommunication from the appropriate governmental authorities of such jurisdictions.</w:t>
      </w:r>
    </w:p>
    <w:p>
      <w:pPr/>
      <w:r>
        <w:rPr>
          <w:rFonts w:ascii="Times New Roman" w:hAnsi="Times New Roman" w:eastAsia="Times New Roman" w:cs="Times New Roman"/>
          <w:sz w:val="24"/>
        </w:rPr>
        <w:t>Exchange Listing.</w:t>
      </w:r>
      <w:r>
        <w:rPr>
          <w:rFonts w:ascii="Times New Roman" w:hAnsi="Times New Roman" w:eastAsia="Times New Roman" w:cs="Times New Roman"/>
          <w:sz w:val="24"/>
        </w:rPr>
        <w:t xml:space="preserve"> The ADSs to be delivered on the Closing Date or the Additional Closing Date, as the case may be, shall have been approved for listing on the </w:t>
      </w:r>
      <w:r>
        <w:rPr>
          <w:rFonts w:ascii="Times New Roman" w:hAnsi="Times New Roman" w:eastAsia="Times New Roman" w:cs="Times New Roman"/>
          <w:sz w:val="24"/>
        </w:rPr>
        <w:t>[NYSE/Nasdaq Stock Market], subject to official notice of issuance, and the Shares shall have been approved for listing and trading on [EXCHANGE IN COMPANY’S HOME JURISDICTION].</w:t>
      </w:r>
    </w:p>
    <w:p>
      <w:pPr/>
      <w:r>
        <w:rPr>
          <w:rFonts w:ascii="Times New Roman" w:hAnsi="Times New Roman" w:eastAsia="Times New Roman" w:cs="Times New Roman"/>
          <w:sz w:val="24"/>
        </w:rPr>
        <w:t>Lock-up Agreements.</w:t>
      </w:r>
      <w:r>
        <w:rPr>
          <w:rFonts w:ascii="Times New Roman" w:hAnsi="Times New Roman" w:eastAsia="Times New Roman" w:cs="Times New Roman"/>
          <w:sz w:val="24"/>
        </w:rPr>
        <w:t xml:space="preserve"> The “lock-up” agreements, each substantially in the form of Exhibit C hereto, between you and certain shareholders, officers and directors of the Company listed in Exhibit D hereto relating to sales and certain other dispositions of shares of Shares, including in the form of American Depositary Shares, or certain other securities, delivered to you on or before the date hereof, shall be full force and effect on the Closing Date or the Additional Closing Date, as the case may be.</w:t>
      </w:r>
    </w:p>
    <w:p>
      <w:pPr/>
      <w:r>
        <w:rPr>
          <w:rFonts w:ascii="Times New Roman" w:hAnsi="Times New Roman" w:eastAsia="Times New Roman" w:cs="Times New Roman"/>
          <w:sz w:val="24"/>
        </w:rPr>
        <w:t>Power of Attorney.</w:t>
      </w:r>
      <w:r>
        <w:rPr>
          <w:rFonts w:ascii="Times New Roman" w:hAnsi="Times New Roman" w:eastAsia="Times New Roman" w:cs="Times New Roman"/>
          <w:sz w:val="24"/>
        </w:rPr>
        <w:t xml:space="preserve"> [Each Selling Shareholder shall have delivered a Power of Attorney prior to the Closing Date.]</w:t>
      </w:r>
    </w:p>
    <w:p>
      <w:pPr/>
      <w:r>
        <w:rPr>
          <w:rFonts w:ascii="Times New Roman" w:hAnsi="Times New Roman" w:eastAsia="Times New Roman" w:cs="Times New Roman"/>
          <w:sz w:val="24"/>
        </w:rPr>
        <w:t>Certificate of the Depositary.</w:t>
      </w:r>
      <w:r>
        <w:rPr>
          <w:rFonts w:ascii="Times New Roman" w:hAnsi="Times New Roman" w:eastAsia="Times New Roman" w:cs="Times New Roman"/>
          <w:sz w:val="24"/>
        </w:rPr>
        <w:t xml:space="preserve"> The Depositary shall have furnished or caused to be furnished to the Representatives evidence reasonably satisfactory to the Representatives of the authorization and execution of the Deposit Agreement and the registration and delivery of the ADSs to be purchased by the Underwriters on the Closing Date or the Additional Closing Date shall be issued, as the case may be, and such other matters related thereto as the Representative reasonably requests.</w:t>
      </w:r>
    </w:p>
    <w:p>
      <w:pPr/>
      <w:r>
        <w:rPr>
          <w:rFonts w:ascii="Times New Roman" w:hAnsi="Times New Roman" w:eastAsia="Times New Roman" w:cs="Times New Roman"/>
          <w:sz w:val="24"/>
        </w:rPr>
        <w:t>Additional Documents.</w:t>
      </w:r>
      <w:r>
        <w:rPr>
          <w:rFonts w:ascii="Times New Roman" w:hAnsi="Times New Roman" w:eastAsia="Times New Roman" w:cs="Times New Roman"/>
          <w:sz w:val="24"/>
        </w:rPr>
        <w:t xml:space="preserve"> On or prior to the Closing Date or the Additional Closing Date, as the case may be, the Company[ and the Selling Shareholders] shall have furnished to the Representatives such further certificates and documents as the Representatives may reasonably request.</w:t>
      </w:r>
    </w:p>
    <w:p>
      <w:pPr/>
      <w:r>
        <w:rPr>
          <w:rFonts w:ascii="Times New Roman" w:hAnsi="Times New Roman" w:eastAsia="Times New Roman" w:cs="Times New Roman"/>
          <w:sz w:val="24"/>
        </w:rPr>
        <w:t>All opinions, letters, certificates and evidence mentioned above or elsewhere in this Agreement shall be deemed to be in compliance with the provisions hereof only if they are in form and substance reasonably satisfactory to counsel for the Underwriters.</w:t>
      </w:r>
    </w:p>
    <w:p>
      <w:pPr/>
      <w:r>
        <w:rPr>
          <w:rFonts w:ascii="Times New Roman" w:hAnsi="Times New Roman" w:eastAsia="Times New Roman" w:cs="Times New Roman"/>
          <w:sz w:val="24"/>
        </w:rPr>
        <w:t>Indemnification and Contribution.</w:t>
      </w:r>
    </w:p>
    <w:p>
      <w:pPr/>
      <w:r>
        <w:rPr>
          <w:rFonts w:ascii="Times New Roman" w:hAnsi="Times New Roman" w:eastAsia="Times New Roman" w:cs="Times New Roman"/>
          <w:sz w:val="24"/>
        </w:rPr>
        <w:t>Indemnification of the Underwriters by the Company.</w:t>
      </w:r>
      <w:r>
        <w:rPr>
          <w:rFonts w:ascii="Times New Roman" w:hAnsi="Times New Roman" w:eastAsia="Times New Roman" w:cs="Times New Roman"/>
          <w:sz w:val="24"/>
        </w:rPr>
        <w:t xml:space="preserve"> The Company agrees to indemnify and hold harmless each Underwriter, its affiliates, directors, officers, employees, agents and each person, if any, who controls such Underwriter within the meaning of Section 15 of the Securities Act or Section 20 of the Exchange Act, from and against any and all losses, claims, damages and liabilities (including, without limitation, legal fees and other expenses incurred in connection with any suit, action or proceeding or any claim asserted, as such fees and expenses are incurred), joint or several, that arise out of, or are based upon, (i) any untrue statement or alleged untrue statement of a material fact contained in the Registration Statement or caused by any omission or alleged omission to state therein a material fact required to be stated therein or necessary in order to make the statements therein, not misleading, or (ii) any untrue statement or alleged untrue statement of a material fact contained in the Prospectus (or any amendment or supplement thereto), any Issuer Free Writing Prospectus, any “issuer information” filed or required to be filed pursuant to Rule 433(d) under the Securities Act, any road show as defined in Rule 433(h) under the Securities Act (a “road show”), any Written Testing-the-Waters Communication or the Pricing Disclosure Package (as amended or supplemented) or caused by any omission or alleged omission to state therein a material fact necessary in order to make the </w:t>
      </w:r>
      <w:r>
        <w:rPr>
          <w:rFonts w:ascii="Times New Roman" w:hAnsi="Times New Roman" w:eastAsia="Times New Roman" w:cs="Times New Roman"/>
          <w:sz w:val="24"/>
        </w:rPr>
        <w:t xml:space="preserve">statements therein, in light of the circumstances under which they were made, not misleading, in each case except —and only to the extent that- such losses, claims, damages or liabilities arise out of, or are based upon, any untrue statement or omission or alleged untrue statement or omission made in reliance upon and in conformity with any information relating to any Underwriter furnished to the Company in writing by such Underwriter through the Representatives expressly for use therein; it being understood and agreed that the only such information furnished by any Underwriter consists of the information described as such in subsection </w:t>
      </w:r>
      <w:r>
        <w:rPr>
          <w:rFonts w:ascii="Times New Roman" w:hAnsi="Times New Roman" w:eastAsia="Times New Roman" w:cs="Times New Roman"/>
          <w:sz w:val="24"/>
        </w:rPr>
        <w:t>(b)</w:t>
      </w:r>
      <w:r>
        <w:rPr>
          <w:rFonts w:ascii="Times New Roman" w:hAnsi="Times New Roman" w:eastAsia="Times New Roman" w:cs="Times New Roman"/>
          <w:sz w:val="24"/>
        </w:rPr>
        <w:t xml:space="preserve"> below.</w:t>
      </w:r>
    </w:p>
    <w:p>
      <w:pPr/>
      <w:r>
        <w:rPr>
          <w:rFonts w:ascii="Times New Roman" w:hAnsi="Times New Roman" w:eastAsia="Times New Roman" w:cs="Times New Roman"/>
          <w:sz w:val="24"/>
        </w:rPr>
        <w:t>Indemnification of the Company</w:t>
      </w:r>
      <w:r>
        <w:rPr>
          <w:rFonts w:ascii="Times New Roman" w:hAnsi="Times New Roman" w:eastAsia="Times New Roman" w:cs="Times New Roman"/>
          <w:sz w:val="24"/>
        </w:rPr>
        <w:t xml:space="preserve"> </w:t>
      </w:r>
      <w:r>
        <w:rPr>
          <w:rFonts w:ascii="Times New Roman" w:hAnsi="Times New Roman" w:eastAsia="Times New Roman" w:cs="Times New Roman"/>
          <w:sz w:val="24"/>
        </w:rPr>
        <w:t>[and the Selling Shareholders].</w:t>
      </w:r>
      <w:r>
        <w:rPr>
          <w:rFonts w:ascii="Times New Roman" w:hAnsi="Times New Roman" w:eastAsia="Times New Roman" w:cs="Times New Roman"/>
          <w:sz w:val="24"/>
        </w:rPr>
        <w:t xml:space="preserve"> Each Underwriter agrees, severally and not jointly, to indemnify and hold harmless the Company, its directors, its officers who signed the Registration Statement and each person, if any, who controls the Company within the meaning of Section 15 of the Securities Act or Section 20 of the Exchange Act [and each of the Selling Shareholders ]to the same extent as the indemnity set forth in paragraph </w:t>
      </w:r>
      <w:r>
        <w:rPr>
          <w:rFonts w:ascii="Times New Roman" w:hAnsi="Times New Roman" w:eastAsia="Times New Roman" w:cs="Times New Roman"/>
          <w:sz w:val="24"/>
        </w:rPr>
        <w:t>(a)</w:t>
      </w:r>
      <w:r>
        <w:rPr>
          <w:rFonts w:ascii="Times New Roman" w:hAnsi="Times New Roman" w:eastAsia="Times New Roman" w:cs="Times New Roman"/>
          <w:sz w:val="24"/>
        </w:rPr>
        <w:t xml:space="preserve"> above, but only with respect to any losses, claims, damages or liabilities that arise out of, or are based upon, any untrue statement or omission or alleged untrue statement or omission made in reliance upon and in conformity with any information relating to such Underwriter furnished to the Company in writing by such Underwriter through the Representatives expressly for use in the Registration Statement, the Prospectus (or any amendment or supplement thereto) or any Pricing Disclosure Package (including any Pricing Disclosure Package that has subsequently been amended); it being understood and agreed upon that the only such information furnished by any Underwriter consists of the following information in the Prospectus furnished on behalf of each Underwriter: the information contained in the [IDENTIFY PARAGRAPHS] paragraphs under the caption “Underwriting”, </w:t>
      </w:r>
      <w:r>
        <w:rPr>
          <w:rFonts w:ascii="Times New Roman" w:hAnsi="Times New Roman" w:eastAsia="Times New Roman" w:cs="Times New Roman"/>
          <w:sz w:val="24"/>
        </w:rPr>
        <w:t>provided</w:t>
      </w:r>
      <w:r>
        <w:rPr>
          <w:rFonts w:ascii="Times New Roman" w:hAnsi="Times New Roman" w:eastAsia="Times New Roman" w:cs="Times New Roman"/>
          <w:sz w:val="24"/>
        </w:rPr>
        <w:t xml:space="preserve"> that the aggregate liability of each Underwriter under this subsection </w:t>
      </w:r>
      <w:r>
        <w:rPr>
          <w:rFonts w:ascii="Times New Roman" w:hAnsi="Times New Roman" w:eastAsia="Times New Roman" w:cs="Times New Roman"/>
          <w:sz w:val="24"/>
        </w:rPr>
        <w:t>(b)</w:t>
      </w:r>
      <w:r>
        <w:rPr>
          <w:rFonts w:ascii="Times New Roman" w:hAnsi="Times New Roman" w:eastAsia="Times New Roman" w:cs="Times New Roman"/>
          <w:sz w:val="24"/>
        </w:rPr>
        <w:t xml:space="preserve"> shall in no event exceed the net underwriting discounts and commissions (after fees and expenses) received by such Underwriter with respect to the offer of the ADSs.</w:t>
      </w:r>
    </w:p>
    <w:p>
      <w:pPr/>
      <w:r>
        <w:rPr>
          <w:rFonts w:ascii="Times New Roman" w:hAnsi="Times New Roman" w:eastAsia="Times New Roman" w:cs="Times New Roman"/>
          <w:sz w:val="24"/>
        </w:rPr>
        <w:t>Notice and Procedures.</w:t>
      </w:r>
      <w:r>
        <w:rPr>
          <w:rFonts w:ascii="Times New Roman" w:hAnsi="Times New Roman" w:eastAsia="Times New Roman" w:cs="Times New Roman"/>
          <w:sz w:val="24"/>
        </w:rPr>
        <w:t xml:space="preserve"> If any suit, action, proceeding (including any governmental or regulatory investigation), claim or demand shall be brought or asserted against any person in respect of which indemnification may be sought pursuant to the preceding paragraphs of this Section </w:t>
      </w:r>
      <w:r>
        <w:rPr>
          <w:rFonts w:ascii="Times New Roman" w:hAnsi="Times New Roman" w:eastAsia="Times New Roman" w:cs="Times New Roman"/>
          <w:sz w:val="24"/>
        </w:rPr>
        <w:t>8</w:t>
      </w:r>
      <w:r>
        <w:rPr>
          <w:rFonts w:ascii="Times New Roman" w:hAnsi="Times New Roman" w:eastAsia="Times New Roman" w:cs="Times New Roman"/>
          <w:sz w:val="24"/>
        </w:rPr>
        <w:t>, such person (the “</w:t>
      </w:r>
      <w:r>
        <w:rPr>
          <w:rFonts w:ascii="Times New Roman" w:hAnsi="Times New Roman" w:eastAsia="Times New Roman" w:cs="Times New Roman"/>
          <w:sz w:val="24"/>
        </w:rPr>
        <w:t>Indemnified Person</w:t>
      </w:r>
      <w:r>
        <w:rPr>
          <w:rFonts w:ascii="Times New Roman" w:hAnsi="Times New Roman" w:eastAsia="Times New Roman" w:cs="Times New Roman"/>
          <w:sz w:val="24"/>
        </w:rPr>
        <w:t>”) shall promptly notify the person against whom such indemnification may be sought (the “</w:t>
      </w:r>
      <w:r>
        <w:rPr>
          <w:rFonts w:ascii="Times New Roman" w:hAnsi="Times New Roman" w:eastAsia="Times New Roman" w:cs="Times New Roman"/>
          <w:sz w:val="24"/>
        </w:rPr>
        <w:t>Indemnifying Person</w:t>
      </w:r>
      <w:r>
        <w:rPr>
          <w:rFonts w:ascii="Times New Roman" w:hAnsi="Times New Roman" w:eastAsia="Times New Roman" w:cs="Times New Roman"/>
          <w:sz w:val="24"/>
        </w:rPr>
        <w:t xml:space="preserve">”) in writing; </w:t>
      </w:r>
      <w:r>
        <w:rPr>
          <w:rFonts w:ascii="Times New Roman" w:hAnsi="Times New Roman" w:eastAsia="Times New Roman" w:cs="Times New Roman"/>
          <w:sz w:val="24"/>
        </w:rPr>
        <w:t>provided</w:t>
      </w:r>
      <w:r>
        <w:rPr>
          <w:rFonts w:ascii="Times New Roman" w:hAnsi="Times New Roman" w:eastAsia="Times New Roman" w:cs="Times New Roman"/>
          <w:sz w:val="24"/>
        </w:rPr>
        <w:t xml:space="preserve"> that the failure to notify the Indemnifying Person shall not relieve it from any liability that it may have under the preceding paragraphs of this Section </w:t>
      </w:r>
      <w:r>
        <w:rPr>
          <w:rFonts w:ascii="Times New Roman" w:hAnsi="Times New Roman" w:eastAsia="Times New Roman" w:cs="Times New Roman"/>
          <w:sz w:val="24"/>
        </w:rPr>
        <w:t>8</w:t>
      </w:r>
      <w:r>
        <w:rPr>
          <w:rFonts w:ascii="Times New Roman" w:hAnsi="Times New Roman" w:eastAsia="Times New Roman" w:cs="Times New Roman"/>
          <w:sz w:val="24"/>
        </w:rPr>
        <w:t xml:space="preserve"> except to the extent that it has been materially prejudiced (through the forfeiture of substantive rights or defenses) by such failure; and provided further that the failure to notify the Indemnifying Person shall not relieve it from any liability that it may have to an Indemnified Person otherwise than under the preceding paragraphs of this Section </w:t>
      </w:r>
      <w:r>
        <w:rPr>
          <w:rFonts w:ascii="Times New Roman" w:hAnsi="Times New Roman" w:eastAsia="Times New Roman" w:cs="Times New Roman"/>
          <w:sz w:val="24"/>
        </w:rPr>
        <w:t>8</w:t>
      </w:r>
      <w:r>
        <w:rPr>
          <w:rFonts w:ascii="Times New Roman" w:hAnsi="Times New Roman" w:eastAsia="Times New Roman" w:cs="Times New Roman"/>
          <w:sz w:val="24"/>
        </w:rPr>
        <w:t xml:space="preserve">. If any such proceeding shall be brought or asserted against an Indemnified Person and it shall have notified the Indemnifying Person thereof, the Indemnifying Person shall retain counsel reasonably satisfactory to the Indemnified Person (who shall not, without the consent of the Indemnified Person, be counsel to the Indemnifying Person) to represent the Indemnified Person and any others entitled to indemnification pursuant to this Section that the Indemnifying Person may designate in such proceeding and shall pay the fees and expenses in such </w:t>
      </w:r>
      <w:r>
        <w:rPr>
          <w:rFonts w:ascii="Times New Roman" w:hAnsi="Times New Roman" w:eastAsia="Times New Roman" w:cs="Times New Roman"/>
          <w:sz w:val="24"/>
        </w:rPr>
        <w:t xml:space="preserve">proceeding and shall pay the fees and expenses of such counsel related to such proceeding, as incurred. In any such proceeding, any Indemnified Person shall have the right to retain its own counsel, but the fees and expenses of such counsel shall be at the expense of such Indemnified Person unless (i) the Indemnifying Person and the Indemnified Person shall have mutually agreed to the contrary; (ii) the Indemnifying Person has failed within a reasonable time to retain counsel reasonably satisfactory to the Indemnified Person; (iii) the Indemnified Person shall have reasonably concluded that there may be legal defenses available to it that are different from or in addition to those available to the Indemnifying Person; or (iv) the named parties in any such proceeding (including any impleaded parties) include both the Indemnifying Person and the Indemnified Person and representation of both parties by the same counsel would be inappropriate due to actual or potential differing interest between them. Any such separate firm for any Underwriter, its affiliates, directors and officers and any control persons of such Underwriter shall be designated in writing by the Representatives, any such separate firm for the Company, its directors, its officers who signed the Registration Statement and any control persons of the Company shall be designated in writing by the Company[ and any such separate firm for the Selling Shareholders shall be designated in writing by the Attorneys-in-Fact or any one of them]. The Indemnifying Person shall not be liable for any settlement of any proceeding effected without its written consent, but if settled with such consent or if there be a final judgment for the plaintiff, the Indemnifying Person agrees to indemnify each Indemnified Person from and against any loss or liability by reason of such settlement or judgment. Notwithstanding the foregoing sentence, if at any time an Indemnified Person shall have requested that an Indemnifying Person reimburse the Indemnified Person for fees and expenses of counsel as contemplated by this Section </w:t>
      </w:r>
      <w:r>
        <w:rPr>
          <w:rFonts w:ascii="Times New Roman" w:hAnsi="Times New Roman" w:eastAsia="Times New Roman" w:cs="Times New Roman"/>
          <w:sz w:val="24"/>
        </w:rPr>
        <w:t>8(c)</w:t>
      </w:r>
      <w:r>
        <w:rPr>
          <w:rFonts w:ascii="Times New Roman" w:hAnsi="Times New Roman" w:eastAsia="Times New Roman" w:cs="Times New Roman"/>
          <w:sz w:val="24"/>
        </w:rPr>
        <w:t>, the Indemnifying Person shall be liable for any settlement of any proceeding effected without its written consent if (i) such settlement is entered into more than thirty (30) days after receipt by the Indemnifying Person of such request and (ii) the Indemnifying Person shall not have reimbursed the Indemnified Person in accordance with such request prior to the date of such settlement. No Indemnifying Person shall, without the written consent of the Indemnified Person, effect any settlement of any pending or threatened proceeding in respect of which any Indemnified Person is or could have been a party and indemnification could have been sought hereunder by such Indemnified Person, unless such settlement (x) includes an unconditional release of such Indemnified Person, in form and substance reasonably satisfactory to such Indemnified Person, from all liability on claims that are the subject matter of such proceeding and (y) does not include any statement as to or any admission of fault, culpability or a failure to act by or on behalf of any Indemnified Person.</w:t>
      </w:r>
    </w:p>
    <w:p>
      <w:pPr/>
      <w:r>
        <w:rPr>
          <w:rFonts w:ascii="Times New Roman" w:hAnsi="Times New Roman" w:eastAsia="Times New Roman" w:cs="Times New Roman"/>
          <w:sz w:val="24"/>
        </w:rPr>
        <w:t>Contribution.</w:t>
      </w:r>
      <w:r>
        <w:rPr>
          <w:rFonts w:ascii="Times New Roman" w:hAnsi="Times New Roman" w:eastAsia="Times New Roman" w:cs="Times New Roman"/>
          <w:sz w:val="24"/>
        </w:rPr>
        <w:t xml:space="preserve"> If the indemnification provided for in paragraphs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(b)</w:t>
      </w:r>
      <w:r>
        <w:rPr>
          <w:rFonts w:ascii="Times New Roman" w:hAnsi="Times New Roman" w:eastAsia="Times New Roman" w:cs="Times New Roman"/>
          <w:sz w:val="24"/>
        </w:rPr>
        <w:t xml:space="preserve"> and </w:t>
      </w:r>
      <w:r>
        <w:rPr>
          <w:rFonts w:ascii="Times New Roman" w:hAnsi="Times New Roman" w:eastAsia="Times New Roman" w:cs="Times New Roman"/>
          <w:sz w:val="24"/>
        </w:rPr>
        <w:t>(b)</w:t>
      </w:r>
      <w:r>
        <w:rPr>
          <w:rFonts w:ascii="Times New Roman" w:hAnsi="Times New Roman" w:eastAsia="Times New Roman" w:cs="Times New Roman"/>
          <w:sz w:val="24"/>
        </w:rPr>
        <w:t xml:space="preserve"> above is unavailable to an Indemnified Person or insufficient in respect of any losses, claims, damages or liabilities referred to therein, then each Indemnifying Person under such paragraph, in lieu of indemnifying such Indemnified Person thereunder, shall contribute to the amount paid or payable by such Indemnified Person as a result of such losses, claims, damages or liabilities (i) in such proportion as is appropriate to reflect the relative benefits received by the Company[ and the Selling Shareholders], on the one hand, and the Underwriters on the other, from the offering of the ADSs or (ii) if the </w:t>
      </w:r>
      <w:r>
        <w:rPr>
          <w:rFonts w:ascii="Times New Roman" w:hAnsi="Times New Roman" w:eastAsia="Times New Roman" w:cs="Times New Roman"/>
          <w:sz w:val="24"/>
        </w:rPr>
        <w:t>allocation provided by clause (i) is not permitted by applicable law, in such proportion as is appropriate to reflect not only the relative benefits referred to in clause (i) but also the relative fault of the Company[ and the Selling Shareholders], on the one hand, and the Underwriters on the other, in connection with the statements or omissions that resulted in such losses, claims, damages or liabilities, as well as any other relevant equitable considerations. The relative benefits received by the Company[ and the Selling Shareholders], on the one hand, and the Underwriters on the other, shall be deemed to be in the same respective proportions as the total proceeds from the Global Offering (net of underwriting discount and commissions but before deducting taxes and expenses) received by the Company[ and the Selling Shareholders] from the sale of the ADSs and the net underwriting discounts and commissions (after deducting taxes and expenses) received by the Underwriters in connection therewith, in each case as set forth in the table on the cover of the Prospectus. The relative fault of the Company[ and the Selling Shareholders], on the one hand, and the Underwriters on the other, shall be determined by reference to, among other things, whether the untrue or alleged untrue statement of a material fact or the omission or alleged omission to state a material fact relates to information supplied by the Company[ and the Selling Shareholders] or by the Underwriters and the parties’ relative intent, knowledge, access to information and opportunity to correct or prevent such statement or omission.</w:t>
      </w:r>
    </w:p>
    <w:p>
      <w:pPr/>
      <w:r>
        <w:rPr>
          <w:rFonts w:ascii="Times New Roman" w:hAnsi="Times New Roman" w:eastAsia="Times New Roman" w:cs="Times New Roman"/>
          <w:sz w:val="24"/>
        </w:rPr>
        <w:t>Limitation on Liability.</w:t>
      </w:r>
      <w:r>
        <w:rPr>
          <w:rFonts w:ascii="Times New Roman" w:hAnsi="Times New Roman" w:eastAsia="Times New Roman" w:cs="Times New Roman"/>
          <w:sz w:val="24"/>
        </w:rPr>
        <w:t xml:space="preserve"> The Company[, the Selling Shareholders] and the Underwriters agree that it would not be just and equitable if contribution pursuant to paragraph </w:t>
      </w:r>
      <w:r>
        <w:rPr>
          <w:rFonts w:ascii="Times New Roman" w:hAnsi="Times New Roman" w:eastAsia="Times New Roman" w:cs="Times New Roman"/>
          <w:sz w:val="24"/>
        </w:rPr>
        <w:t>(d)</w:t>
      </w:r>
      <w:r>
        <w:rPr>
          <w:rFonts w:ascii="Times New Roman" w:hAnsi="Times New Roman" w:eastAsia="Times New Roman" w:cs="Times New Roman"/>
          <w:sz w:val="24"/>
        </w:rPr>
        <w:t xml:space="preserve"> were determined by </w:t>
      </w:r>
      <w:r>
        <w:rPr>
          <w:rFonts w:ascii="Times New Roman" w:hAnsi="Times New Roman" w:eastAsia="Times New Roman" w:cs="Times New Roman"/>
          <w:sz w:val="24"/>
        </w:rPr>
        <w:t>pro rata</w:t>
      </w:r>
      <w:r>
        <w:rPr>
          <w:rFonts w:ascii="Times New Roman" w:hAnsi="Times New Roman" w:eastAsia="Times New Roman" w:cs="Times New Roman"/>
          <w:sz w:val="24"/>
        </w:rPr>
        <w:t xml:space="preserve"> allocation [(even if the Selling Shareholders or the Underwriters were treated as one entity for such purpose) ]or by any other method of allocation that does not take account of the equitable considerations referred to in paragraph </w:t>
      </w:r>
      <w:r>
        <w:rPr>
          <w:rFonts w:ascii="Times New Roman" w:hAnsi="Times New Roman" w:eastAsia="Times New Roman" w:cs="Times New Roman"/>
          <w:sz w:val="24"/>
        </w:rPr>
        <w:t>(d)</w:t>
      </w:r>
      <w:r>
        <w:rPr>
          <w:rFonts w:ascii="Times New Roman" w:hAnsi="Times New Roman" w:eastAsia="Times New Roman" w:cs="Times New Roman"/>
          <w:sz w:val="24"/>
        </w:rPr>
        <w:t xml:space="preserve"> above. The amount paid or payable by an Indemnified Person as a result of the losses, claims, damages and liabilities referred to in paragraph </w:t>
      </w:r>
      <w:r>
        <w:rPr>
          <w:rFonts w:ascii="Times New Roman" w:hAnsi="Times New Roman" w:eastAsia="Times New Roman" w:cs="Times New Roman"/>
          <w:sz w:val="24"/>
        </w:rPr>
        <w:t>(d)</w:t>
      </w:r>
      <w:r>
        <w:rPr>
          <w:rFonts w:ascii="Times New Roman" w:hAnsi="Times New Roman" w:eastAsia="Times New Roman" w:cs="Times New Roman"/>
          <w:sz w:val="24"/>
        </w:rPr>
        <w:t xml:space="preserve"> above shall be deemed to include, subject to the limitations set forth above, any legal or other expenses incurred by such Indemnified Person in connection with any such action or claim. Notwithstanding the provisions of paragraphs </w:t>
      </w:r>
      <w:r>
        <w:rPr>
          <w:rFonts w:ascii="Times New Roman" w:hAnsi="Times New Roman" w:eastAsia="Times New Roman" w:cs="Times New Roman"/>
          <w:sz w:val="24"/>
        </w:rPr>
        <w:t>(d)</w:t>
      </w:r>
      <w:r>
        <w:rPr>
          <w:rFonts w:ascii="Times New Roman" w:hAnsi="Times New Roman" w:eastAsia="Times New Roman" w:cs="Times New Roman"/>
          <w:sz w:val="24"/>
        </w:rPr>
        <w:t xml:space="preserve"> and </w:t>
      </w:r>
      <w:r>
        <w:rPr>
          <w:rFonts w:ascii="Times New Roman" w:hAnsi="Times New Roman" w:eastAsia="Times New Roman" w:cs="Times New Roman"/>
          <w:sz w:val="24"/>
        </w:rPr>
        <w:t>(e)</w:t>
      </w:r>
      <w:r>
        <w:rPr>
          <w:rFonts w:ascii="Times New Roman" w:hAnsi="Times New Roman" w:eastAsia="Times New Roman" w:cs="Times New Roman"/>
          <w:sz w:val="24"/>
        </w:rPr>
        <w:t xml:space="preserve">, in no event shall an Underwriter be required to contribute any amount in excess of the amount by which the net underwriting commissions (after taxes and expenses) received by such Underwriter with respect to the offering of the ADSs exceeds the amount of any damages that such Underwriter has otherwise been required to pay by reason of such untrue or alleged untrue statement or omission or alleged omission. No person guilty of fraudulent misrepresentation (within the meaning of Section 10.11(f) of the Securities Act) shall be entitled to contribution from any person who was not guilty of such fraudulent misrepresentation. The Underwriters’ obligations to contribute pursuant to paragraphs </w:t>
      </w:r>
      <w:r>
        <w:rPr>
          <w:rFonts w:ascii="Times New Roman" w:hAnsi="Times New Roman" w:eastAsia="Times New Roman" w:cs="Times New Roman"/>
          <w:sz w:val="24"/>
        </w:rPr>
        <w:t>(d)</w:t>
      </w:r>
      <w:r>
        <w:rPr>
          <w:rFonts w:ascii="Times New Roman" w:hAnsi="Times New Roman" w:eastAsia="Times New Roman" w:cs="Times New Roman"/>
          <w:sz w:val="24"/>
        </w:rPr>
        <w:t xml:space="preserve"> and </w:t>
      </w:r>
      <w:r>
        <w:rPr>
          <w:rFonts w:ascii="Times New Roman" w:hAnsi="Times New Roman" w:eastAsia="Times New Roman" w:cs="Times New Roman"/>
          <w:sz w:val="24"/>
        </w:rPr>
        <w:t>(e)</w:t>
      </w:r>
      <w:r>
        <w:rPr>
          <w:rFonts w:ascii="Times New Roman" w:hAnsi="Times New Roman" w:eastAsia="Times New Roman" w:cs="Times New Roman"/>
          <w:sz w:val="24"/>
        </w:rPr>
        <w:t xml:space="preserve"> are several in proportion to their respective purchase obligations hereunder and not joint.</w:t>
      </w:r>
    </w:p>
    <w:p>
      <w:pPr/>
      <w:r>
        <w:rPr>
          <w:rFonts w:ascii="Times New Roman" w:hAnsi="Times New Roman" w:eastAsia="Times New Roman" w:cs="Times New Roman"/>
          <w:sz w:val="24"/>
        </w:rPr>
        <w:t>Non-Exclusive Remedies.</w:t>
      </w:r>
      <w:r>
        <w:rPr>
          <w:rFonts w:ascii="Times New Roman" w:hAnsi="Times New Roman" w:eastAsia="Times New Roman" w:cs="Times New Roman"/>
          <w:sz w:val="24"/>
        </w:rPr>
        <w:t xml:space="preserve"> The remedies provided for in this Section </w:t>
      </w:r>
      <w:r>
        <w:rPr>
          <w:rFonts w:ascii="Times New Roman" w:hAnsi="Times New Roman" w:eastAsia="Times New Roman" w:cs="Times New Roman"/>
          <w:sz w:val="24"/>
        </w:rPr>
        <w:t>8</w:t>
      </w:r>
      <w:r>
        <w:rPr>
          <w:rFonts w:ascii="Times New Roman" w:hAnsi="Times New Roman" w:eastAsia="Times New Roman" w:cs="Times New Roman"/>
          <w:sz w:val="24"/>
        </w:rPr>
        <w:t xml:space="preserve"> paragraphs </w:t>
      </w:r>
      <w:r>
        <w:rPr>
          <w:rFonts w:ascii="Times New Roman" w:hAnsi="Times New Roman" w:eastAsia="Times New Roman" w:cs="Times New Roman"/>
          <w:sz w:val="24"/>
        </w:rPr>
        <w:t>(a)</w:t>
      </w:r>
      <w:r>
        <w:rPr>
          <w:rFonts w:ascii="Times New Roman" w:hAnsi="Times New Roman" w:eastAsia="Times New Roman" w:cs="Times New Roman"/>
          <w:sz w:val="24"/>
        </w:rPr>
        <w:t xml:space="preserve"> through </w:t>
      </w:r>
      <w:r>
        <w:rPr>
          <w:rFonts w:ascii="Times New Roman" w:hAnsi="Times New Roman" w:eastAsia="Times New Roman" w:cs="Times New Roman"/>
          <w:sz w:val="24"/>
        </w:rPr>
        <w:t>(e)</w:t>
      </w:r>
      <w:r>
        <w:rPr>
          <w:rFonts w:ascii="Times New Roman" w:hAnsi="Times New Roman" w:eastAsia="Times New Roman" w:cs="Times New Roman"/>
          <w:sz w:val="24"/>
        </w:rPr>
        <w:t xml:space="preserve"> are not exclusive and shall not limit any rights or remedies which may otherwise be available to any Indemnified Person at law or in equity.</w:t>
      </w:r>
    </w:p>
    <w:p>
      <w:pPr/>
      <w:r>
        <w:rPr>
          <w:rFonts w:ascii="Times New Roman" w:hAnsi="Times New Roman" w:eastAsia="Times New Roman" w:cs="Times New Roman"/>
          <w:sz w:val="24"/>
        </w:rPr>
        <w:t>Effectiveness of Agreement.</w:t>
      </w:r>
      <w:r>
        <w:rPr>
          <w:rFonts w:ascii="Times New Roman" w:hAnsi="Times New Roman" w:eastAsia="Times New Roman" w:cs="Times New Roman"/>
          <w:sz w:val="24"/>
        </w:rPr>
        <w:t xml:space="preserve"> This Agreement shall become effective as of the date first written above.</w:t>
      </w:r>
    </w:p>
    <w:p>
      <w:pPr/>
      <w:r>
        <w:rPr>
          <w:rFonts w:ascii="Times New Roman" w:hAnsi="Times New Roman" w:eastAsia="Times New Roman" w:cs="Times New Roman"/>
          <w:sz w:val="24"/>
        </w:rPr>
        <w:t>Termination.</w:t>
      </w:r>
      <w:r>
        <w:rPr>
          <w:rFonts w:ascii="Times New Roman" w:hAnsi="Times New Roman" w:eastAsia="Times New Roman" w:cs="Times New Roman"/>
          <w:sz w:val="24"/>
        </w:rPr>
        <w:t xml:space="preserve"> This Agreement may be terminated in the absolute discretion of the Representatives, by notice to the Company and the Selling Shareholders, if after the execution and delivery of this Agreement and on or prior to the Closing Date or, in the case of the Option ADSs, prior to the Additional Closing Date (i) listing and/or trading generally shall have been suspended or materially limited on or by any of the NYSE, the Nasdaq Stock Market, or 8.(e); (ii) trading of any securities issued or guaranteed by the Company shall have been suspended on any exchange or in any over-the-counter market; (iii) a general moratorium on commercial banking activities shall have been declared by U.S. federal or New York State authorities; (iv) any material change in 8.(e) taxation, any material change in the currency exchange rate between the U.S. Dollar and the 8.(e) or if 8.(e) reinstates or imposes new material exchange controls; or (v) there shall have occurred any outbreak or escalation of hostilities or any change in financial markets or any calamity or crisis, either within or outside the United States, that, in the judgment of the Representatives, is material and adverse and makes it impracticable or inadvisable to proceed with the offering, sale or delivery of the ADSs on the Closing Date or the Additional Closing Date, as the case may be, on the terms and in the manner contemplated by this Agreement, the Pricing Disclosure Package and the Prospectus.</w:t>
      </w:r>
    </w:p>
    <w:p>
      <w:pPr/>
      <w:r>
        <w:rPr>
          <w:rFonts w:ascii="Times New Roman" w:hAnsi="Times New Roman" w:eastAsia="Times New Roman" w:cs="Times New Roman"/>
          <w:sz w:val="24"/>
        </w:rPr>
        <w:t>Defaulting Underwriter.</w:t>
      </w:r>
    </w:p>
    <w:p>
      <w:pPr/>
      <w:r>
        <w:rPr>
          <w:rFonts w:ascii="Times New Roman" w:hAnsi="Times New Roman" w:eastAsia="Times New Roman" w:cs="Times New Roman"/>
          <w:sz w:val="24"/>
        </w:rPr>
        <w:t xml:space="preserve">If, on the Closing Date or the Additional Closing Date, as the case may be, any Underwriter defaults on its obligation to purchase the ADSs that it has agreed to purchase hereunder on such date, the non-defaulting Underwriters may in their discretion arrange for the purchase of such ADSs by other persons satisfactory to the Company and the Selling Shareholders on the terms contained in this Agreement. If, within 36 hours after any such default by any Underwriter, the non-defaulting Underwriters do not arrange for the purchase of such ADSs, then the Company[ and the Selling Shareholders]] shall be entitled to a further period of 36 hours within which to procure other persons satisfactory to the non-defaulting Underwriters to purchase such ADSs on such terms. If other persons become obligated or agree to purchase the ADSs of a defaulting Underwriter, either the non-defaulting Underwriters or the Company[ and the Selling Shareholders] may postpone the Closing Date or the Additional Closing Date, as the case may be, for up to five full business days in order to effect any changes that in the opinion of counsel for the Company[, counsel for the Selling Shareholders] or counsel for the Underwriters may be necessary in the Registration Statement and the Prospectus or in any other document or arrangement, and the Company agrees to promptly prepare any amendment or supplement to the Registration Statement and the Prospectus that effects any such changes. As used in this Agreement, the term “Underwriter” includes, for all purposes of this Agreement unless the context otherwise requires, any person not listed in Schedule 1 hereto that, pursuant to this Section </w:t>
      </w:r>
      <w:r>
        <w:rPr>
          <w:rFonts w:ascii="Times New Roman" w:hAnsi="Times New Roman" w:eastAsia="Times New Roman" w:cs="Times New Roman"/>
          <w:sz w:val="24"/>
        </w:rPr>
        <w:t>11</w:t>
      </w:r>
      <w:r>
        <w:rPr>
          <w:rFonts w:ascii="Times New Roman" w:hAnsi="Times New Roman" w:eastAsia="Times New Roman" w:cs="Times New Roman"/>
          <w:sz w:val="24"/>
        </w:rPr>
        <w:t>, purchases ADSs that a defaulting Underwriter agreed but failed to purchase.</w:t>
      </w:r>
    </w:p>
    <w:p>
      <w:pPr/>
      <w:r>
        <w:rPr>
          <w:rFonts w:ascii="Times New Roman" w:hAnsi="Times New Roman" w:eastAsia="Times New Roman" w:cs="Times New Roman"/>
          <w:sz w:val="24"/>
        </w:rPr>
        <w:t xml:space="preserve">If, after giving effect to any arrangements for the purchase of the ADSs of a defaulting Underwriter or Underwriters by the non-defaulting Underwriters, the Company[ and the Selling Shareholders] as provided in paragraph </w:t>
      </w:r>
      <w:r>
        <w:rPr>
          <w:rFonts w:ascii="Times New Roman" w:hAnsi="Times New Roman" w:eastAsia="Times New Roman" w:cs="Times New Roman"/>
          <w:sz w:val="24"/>
        </w:rPr>
        <w:t>(a)</w:t>
      </w:r>
      <w:r>
        <w:rPr>
          <w:rFonts w:ascii="Times New Roman" w:hAnsi="Times New Roman" w:eastAsia="Times New Roman" w:cs="Times New Roman"/>
          <w:sz w:val="24"/>
        </w:rPr>
        <w:t xml:space="preserve"> above, the aggregate number of ADSs that remain unpurchased on the Closing Date or the Additional Closing Date, as </w:t>
      </w:r>
      <w:r>
        <w:rPr>
          <w:rFonts w:ascii="Times New Roman" w:hAnsi="Times New Roman" w:eastAsia="Times New Roman" w:cs="Times New Roman"/>
          <w:sz w:val="24"/>
        </w:rPr>
        <w:t>the case may be, does not exceed one-eleventh of the aggregate number of ADSs to be purchased on such date, then the Company and the Selling Shareholders shall have the right to require each non-defaulting Underwriter to purchase the number of ADSs that such Underwriter agreed to purchase hereunder on such date plus such Underwriter’s pro rata share (based on the number of ADSs that such Underwriter agreed to purchase on such date) of the ADSs of such defaulting Underwriter or Underwriters for which such arrangements have not been made.</w:t>
      </w:r>
    </w:p>
    <w:p>
      <w:pPr/>
      <w:r>
        <w:rPr>
          <w:rFonts w:ascii="Times New Roman" w:hAnsi="Times New Roman" w:eastAsia="Times New Roman" w:cs="Times New Roman"/>
          <w:sz w:val="24"/>
        </w:rPr>
        <w:t xml:space="preserve">If, after giving effect to any arrangements for the purchase of the ADSs of a defaulting Underwriter or Underwriters by the non-defaulting Underwriters, the Company[ and the Selling Shareholders] as provided in paragraph </w:t>
      </w:r>
      <w:r>
        <w:rPr>
          <w:rFonts w:ascii="Times New Roman" w:hAnsi="Times New Roman" w:eastAsia="Times New Roman" w:cs="Times New Roman"/>
          <w:sz w:val="24"/>
        </w:rPr>
        <w:t>(a)</w:t>
      </w:r>
      <w:r>
        <w:rPr>
          <w:rFonts w:ascii="Times New Roman" w:hAnsi="Times New Roman" w:eastAsia="Times New Roman" w:cs="Times New Roman"/>
          <w:sz w:val="24"/>
        </w:rPr>
        <w:t xml:space="preserve"> above, the aggregate number of ADSs that remain unpurchased on the Closing Date or the Additional Closing Date, as the case may be, exceeds one-eleventh of the aggregate amount of ADSs to be purchased on such date, or if the Company[ and the Selling Shareholders] shall not exercise the right described in paragraph </w:t>
      </w:r>
      <w:r>
        <w:rPr>
          <w:rFonts w:ascii="Times New Roman" w:hAnsi="Times New Roman" w:eastAsia="Times New Roman" w:cs="Times New Roman"/>
          <w:sz w:val="24"/>
        </w:rPr>
        <w:t>(b)</w:t>
      </w:r>
      <w:r>
        <w:rPr>
          <w:rFonts w:ascii="Times New Roman" w:hAnsi="Times New Roman" w:eastAsia="Times New Roman" w:cs="Times New Roman"/>
          <w:sz w:val="24"/>
        </w:rPr>
        <w:t xml:space="preserve"> above, then this Agreement or, with respect to any Additional Closing Date, the obligation of the Underwriters to purchase ADSs on the Additional Closing Date, as the case may be, shall terminate without liability on the part of the non-defaulting Underwriters. Any termination of this Agreement pursuant to this Section </w:t>
      </w:r>
      <w:r>
        <w:rPr>
          <w:rFonts w:ascii="Times New Roman" w:hAnsi="Times New Roman" w:eastAsia="Times New Roman" w:cs="Times New Roman"/>
          <w:sz w:val="24"/>
        </w:rPr>
        <w:t>11</w:t>
      </w:r>
      <w:r>
        <w:rPr>
          <w:rFonts w:ascii="Times New Roman" w:hAnsi="Times New Roman" w:eastAsia="Times New Roman" w:cs="Times New Roman"/>
          <w:sz w:val="24"/>
        </w:rPr>
        <w:t xml:space="preserve"> shall be without liability on the part of the Company, except that the Company and the Selling Shareholders will continue to be liable for the payment of expenses as set forth in Section </w:t>
      </w:r>
      <w:r>
        <w:rPr>
          <w:rFonts w:ascii="Times New Roman" w:hAnsi="Times New Roman" w:eastAsia="Times New Roman" w:cs="Times New Roman"/>
          <w:sz w:val="24"/>
        </w:rPr>
        <w:t>12</w:t>
      </w:r>
      <w:r>
        <w:rPr>
          <w:rFonts w:ascii="Times New Roman" w:hAnsi="Times New Roman" w:eastAsia="Times New Roman" w:cs="Times New Roman"/>
          <w:sz w:val="24"/>
        </w:rPr>
        <w:t xml:space="preserve"> hereof and except that the provisions of Section </w:t>
      </w:r>
      <w:r>
        <w:rPr>
          <w:rFonts w:ascii="Times New Roman" w:hAnsi="Times New Roman" w:eastAsia="Times New Roman" w:cs="Times New Roman"/>
          <w:sz w:val="24"/>
        </w:rPr>
        <w:t>8</w:t>
      </w:r>
      <w:r>
        <w:rPr>
          <w:rFonts w:ascii="Times New Roman" w:hAnsi="Times New Roman" w:eastAsia="Times New Roman" w:cs="Times New Roman"/>
          <w:sz w:val="24"/>
        </w:rPr>
        <w:t xml:space="preserve"> hereof shall not terminate and shall remain in effect.</w:t>
      </w:r>
    </w:p>
    <w:p>
      <w:pPr/>
      <w:r>
        <w:rPr>
          <w:rFonts w:ascii="Times New Roman" w:hAnsi="Times New Roman" w:eastAsia="Times New Roman" w:cs="Times New Roman"/>
          <w:sz w:val="24"/>
        </w:rPr>
        <w:t>Nothing contained herein shall relieve a defaulting Underwriter of any liability it may have to the Company[, the Selling Shareholders ]or any non-defaulting Underwriter for damages caused by its default.</w:t>
      </w:r>
    </w:p>
    <w:p>
      <w:pPr/>
      <w:r>
        <w:rPr>
          <w:rFonts w:ascii="Times New Roman" w:hAnsi="Times New Roman" w:eastAsia="Times New Roman" w:cs="Times New Roman"/>
          <w:sz w:val="24"/>
        </w:rPr>
        <w:t>Payment of Expenses.</w:t>
      </w:r>
    </w:p>
    <w:p>
      <w:pPr/>
      <w:r>
        <w:rPr>
          <w:rFonts w:ascii="Times New Roman" w:hAnsi="Times New Roman" w:eastAsia="Times New Roman" w:cs="Times New Roman"/>
          <w:sz w:val="24"/>
        </w:rPr>
        <w:t xml:space="preserve">Whether or not the transactions contemplated by this Agreement are consummated or this Agreement is terminated, the Company[ and the Selling Shareholders] will pay or cause to be paid all costs and expenses incident to the performance of its obligations hereunder, including without limitation, (i) the costs incident to the authorization, issuance, sale, preparation and delivery of the ADSs and any taxes payable in that connection; (ii) the costs incident to the preparation, printing and filing under the Securities Act of the Registration Statement, the Preliminary Prospectus, any Issuer Free Writing Prospectus, any Pricing Disclosure Package and the Prospectus (including all exhibits, amendments and supplements thereto) and the distribution thereof; (iii) the costs of reproducing and distributing each of the Transaction Documents; (iv) the fees and expenses of the Company’s U.S. and local counsel and independent accountants and the reasonable and documented fees and expenses of the Underwriters’ U.S. and local counsel; (v) the fees and expenses incurred in connection with the registration or qualification and determination of eligibility for investment of the ADSs under laws of such jurisdictions as the Representatives may designate and the preparation, printing and distribution of a Blue Sky Memorandum (including the related fees and expenses of counsel for the Underwriters); (vi) the cost of preparing stock certificates; (vii) the costs and charges of any transfer agent and any registrar; (viii) all expenses and application fees incurred in connection with any filing with, and clearance of the </w:t>
      </w:r>
      <w:r>
        <w:rPr>
          <w:rFonts w:ascii="Times New Roman" w:hAnsi="Times New Roman" w:eastAsia="Times New Roman" w:cs="Times New Roman"/>
          <w:sz w:val="24"/>
        </w:rPr>
        <w:t>offering by, FINRA and by [REGULATOR IN COMPANY’S HOME JURISDICTION] regarding the offer of the [COMPANY’S HOME JURISDICTION] Shares in [COMPANY’S HOME JURISDICTION]; (ix) the reimbursement upon request of all reasonable and documented expenses incurred in connection with any “road show” presentation to potential investors; (x) all expenses and application fees related to the listing of (a) the ADSs on the [NYSE/Nasdaq Stock Market] and (b) the Shares on the [EXCHANGE IN COMPANY’S HOME JURISDICTION]; and (xi) the fees and expenses of any Attorney-in-Fact.</w:t>
      </w:r>
    </w:p>
    <w:p>
      <w:pPr/>
      <w:r>
        <w:rPr>
          <w:rFonts w:ascii="Times New Roman" w:hAnsi="Times New Roman" w:eastAsia="Times New Roman" w:cs="Times New Roman"/>
          <w:sz w:val="24"/>
        </w:rPr>
        <w:t xml:space="preserve">If (i) this Agreement is terminated pursuant to Section </w:t>
      </w:r>
      <w:r>
        <w:rPr>
          <w:rFonts w:ascii="Times New Roman" w:hAnsi="Times New Roman" w:eastAsia="Times New Roman" w:cs="Times New Roman"/>
          <w:sz w:val="24"/>
        </w:rPr>
        <w:t>10</w:t>
      </w:r>
      <w:r>
        <w:rPr>
          <w:rFonts w:ascii="Times New Roman" w:hAnsi="Times New Roman" w:eastAsia="Times New Roman" w:cs="Times New Roman"/>
          <w:sz w:val="24"/>
        </w:rPr>
        <w:t>, (ii) the Company[ or the Selling Shareholders] for any reason fail[s] to tender the ADSs for delivery to the Underwriters or (iii) the Underwriters decline to purchase the ADSs for any reason permitted under this Agreement, the Company[ and the Selling Shareholders] agree to reimburse the Underwriters for all out-of-pocket costs and expenses (including the fees and expenses of their counsel) reasonably incurred by the Underwriters in connection with this Agreement and the offering contemplated hereby.</w:t>
      </w:r>
    </w:p>
    <w:p>
      <w:pPr/>
      <w:r>
        <w:rPr>
          <w:rFonts w:ascii="Times New Roman" w:hAnsi="Times New Roman" w:eastAsia="Times New Roman" w:cs="Times New Roman"/>
          <w:sz w:val="24"/>
        </w:rPr>
        <w:t>Persons Entitled to Benefit of Agreement.</w:t>
      </w:r>
      <w:r>
        <w:rPr>
          <w:rFonts w:ascii="Times New Roman" w:hAnsi="Times New Roman" w:eastAsia="Times New Roman" w:cs="Times New Roman"/>
          <w:sz w:val="24"/>
        </w:rPr>
        <w:t xml:space="preserve"> This Agreement shall inure to the benefit of and be binding upon the parties hereto and their respective successors and the officers and directors and any controlling persons referred to herein and the affiliates of each Underwriter referred to in Section </w:t>
      </w:r>
      <w:r>
        <w:rPr>
          <w:rFonts w:ascii="Times New Roman" w:hAnsi="Times New Roman" w:eastAsia="Times New Roman" w:cs="Times New Roman"/>
          <w:sz w:val="24"/>
        </w:rPr>
        <w:t>8</w:t>
      </w:r>
      <w:r>
        <w:rPr>
          <w:rFonts w:ascii="Times New Roman" w:hAnsi="Times New Roman" w:eastAsia="Times New Roman" w:cs="Times New Roman"/>
          <w:sz w:val="24"/>
        </w:rPr>
        <w:t xml:space="preserve"> hereof. Nothing in this Agreement is intended or shall be construed to give any other person any legal or equitable right, remedy or claim under or in respect of this Agreement or any provision contained herein. No purchaser of ADSs from any Underwriter shall be deemed to be a successor merely by reason of such purchase.</w:t>
      </w:r>
    </w:p>
    <w:p>
      <w:pPr/>
      <w:r>
        <w:rPr>
          <w:rFonts w:ascii="Times New Roman" w:hAnsi="Times New Roman" w:eastAsia="Times New Roman" w:cs="Times New Roman"/>
          <w:sz w:val="24"/>
        </w:rPr>
        <w:t>Survival.</w:t>
      </w:r>
      <w:r>
        <w:rPr>
          <w:rFonts w:ascii="Times New Roman" w:hAnsi="Times New Roman" w:eastAsia="Times New Roman" w:cs="Times New Roman"/>
          <w:sz w:val="24"/>
        </w:rPr>
        <w:t xml:space="preserve"> The respective indemnities, rights of contribution, representations, warranties and agreements of the Company[, the Selling Shareholders] and the Underwriters contained in this Agreement or made by or on behalf of the Company[, the Selling Shareholders] or the Underwriters pursuant to this Agreement or any certificate delivered pursuant hereto shall survive the delivery of and payment for the ADSs and shall remain in full force and effect, regardless of any termination of this Agreement or any investigation made by or on behalf of the Company[, the Selling Shareholders] or the Underwriters.</w:t>
      </w:r>
    </w:p>
    <w:p>
      <w:pPr/>
      <w:r>
        <w:rPr>
          <w:rFonts w:ascii="Times New Roman" w:hAnsi="Times New Roman" w:eastAsia="Times New Roman" w:cs="Times New Roman"/>
          <w:sz w:val="24"/>
        </w:rPr>
        <w:t>Certain Defined Terms.</w:t>
      </w:r>
      <w:r>
        <w:rPr>
          <w:rFonts w:ascii="Times New Roman" w:hAnsi="Times New Roman" w:eastAsia="Times New Roman" w:cs="Times New Roman"/>
          <w:sz w:val="24"/>
        </w:rPr>
        <w:t xml:space="preserve"> For purposes of this Agreement, (a) except where otherwise expressly provided, the term “affiliate” has the meaning set forth in Rule 405 under the Securities Act; (b) the term “business day” means any day other than a day on which banks are permitted or required to be closed in New York City; (c) the term “subsidiary” has the meaning set forth in Rule 405 under the Securities Act; and (d) the term “significant subsidiary” has the meaning set forth in Rule 1-02 of Regulation S-X under the Exchange Act.</w:t>
      </w:r>
    </w:p>
    <w:p>
      <w:pPr/>
      <w:r>
        <w:rPr>
          <w:rFonts w:ascii="Times New Roman" w:hAnsi="Times New Roman" w:eastAsia="Times New Roman" w:cs="Times New Roman"/>
          <w:sz w:val="24"/>
        </w:rPr>
        <w:t>Compliance with USA Patriot Act.</w:t>
      </w:r>
      <w:r>
        <w:rPr>
          <w:rFonts w:ascii="Times New Roman" w:hAnsi="Times New Roman" w:eastAsia="Times New Roman" w:cs="Times New Roman"/>
          <w:sz w:val="24"/>
        </w:rPr>
        <w:t xml:space="preserve"> In accordance with the requirements of the USA Patriot Act (Title III of Pub. L. 107-56 (signed into law October 26, 2001)), the Underwriters are required to obtain, verify and record information that identifies their respective clients, including the Company[ and the Selling Shareholders], which information may include the </w:t>
      </w:r>
      <w:r>
        <w:rPr>
          <w:rFonts w:ascii="Times New Roman" w:hAnsi="Times New Roman" w:eastAsia="Times New Roman" w:cs="Times New Roman"/>
          <w:sz w:val="24"/>
        </w:rPr>
        <w:t>name and address of their respective clients, as well as other information that will allow the Underwriters to properly identify their respective clients.</w:t>
      </w:r>
    </w:p>
    <w:p>
      <w:pPr/>
      <w:r>
        <w:rPr>
          <w:rFonts w:ascii="Times New Roman" w:hAnsi="Times New Roman" w:eastAsia="Times New Roman" w:cs="Times New Roman"/>
          <w:sz w:val="24"/>
        </w:rPr>
        <w:t>Miscellaneous.</w:t>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All notices and other communications hereunder shall be in writing and shall be deemed to have been duly given if mailed or transmitted and confirmed by any standard form of telecommunication. Notices to the Underwriters shall be given to the Representatives c/o [UNDERWRITERS CONTACT INFORMATION].</w:t>
      </w:r>
    </w:p>
    <w:p>
      <w:pPr/>
      <w:r>
        <w:rPr>
          <w:rFonts w:ascii="Times New Roman" w:hAnsi="Times New Roman" w:eastAsia="Times New Roman" w:cs="Times New Roman"/>
          <w:sz w:val="24"/>
        </w:rPr>
        <w:t>Notices to the Company shall be given to [COMPANY CONTACT INFORMATION].</w:t>
      </w:r>
    </w:p>
    <w:p>
      <w:pPr/>
      <w:r>
        <w:rPr>
          <w:rFonts w:ascii="Times New Roman" w:hAnsi="Times New Roman" w:eastAsia="Times New Roman" w:cs="Times New Roman"/>
          <w:sz w:val="24"/>
        </w:rPr>
        <w:t>[Notices to the Selling Shareholders shall be given at [SELLING SHAREHOLDERS CONTACT INFORMATION].]</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any claim, controversy or dispute arising under or related to this Agreement shall be governed by and construed in accordance with the laws of the State of New York.</w:t>
      </w:r>
    </w:p>
    <w:p>
      <w:pPr/>
      <w:r>
        <w:rPr>
          <w:rFonts w:ascii="Times New Roman" w:hAnsi="Times New Roman" w:eastAsia="Times New Roman" w:cs="Times New Roman"/>
          <w:b/>
          <w:sz w:val="24"/>
        </w:rPr>
        <w:t>Judgment Currency.</w:t>
      </w:r>
      <w:r>
        <w:rPr>
          <w:rFonts w:ascii="Times New Roman" w:hAnsi="Times New Roman" w:eastAsia="Times New Roman" w:cs="Times New Roman"/>
          <w:sz w:val="24"/>
        </w:rPr>
        <w:t xml:space="preserve"> The Company[ and each Selling Shareholder, severally and jointly,] agree[s] to indemnify each Underwriter, its directors, officers, affiliates and each person, if any, who controls such Underwriter within the meaning of Section 15 of the Securities Act or Section 20 of the Exchange Act, against any loss incurred by such Underwriter as a result of any judgment or order being given or made for any amount due hereunder and such judgment or order being expressed and paid in a currency (the “</w:t>
      </w:r>
      <w:r>
        <w:rPr>
          <w:rFonts w:ascii="Times New Roman" w:hAnsi="Times New Roman" w:eastAsia="Times New Roman" w:cs="Times New Roman"/>
          <w:sz w:val="24"/>
        </w:rPr>
        <w:t>judgment currency</w:t>
      </w:r>
      <w:r>
        <w:rPr>
          <w:rFonts w:ascii="Times New Roman" w:hAnsi="Times New Roman" w:eastAsia="Times New Roman" w:cs="Times New Roman"/>
          <w:sz w:val="24"/>
        </w:rPr>
        <w:t>”) other than U.S. dollars and as a result of any variation as between (i) the rate of exchange at which the U.S. dollar amount is converted into the judgment currency for the purpose of such judgment or order, and (ii) the rate of exchange at which such indemnified person is able to purchase U.S. dollars with the amount of the judgment currency actually received by the indemnified person. The foregoing indemnity shall constitute a separate and independent obligation of the Company[ and each Selling Shareholder] and shall continue in full force and effect notwithstanding any such judgment or order as aforesaid. The term “rate of exchange” shall include any premiums and costs of exchange payable in connection with the purchase of, or conversion into, the relevant currency.</w:t>
      </w:r>
    </w:p>
    <w:p>
      <w:pPr/>
      <w:r>
        <w:rPr>
          <w:rFonts w:ascii="Times New Roman" w:hAnsi="Times New Roman" w:eastAsia="Times New Roman" w:cs="Times New Roman"/>
          <w:b/>
          <w:sz w:val="24"/>
        </w:rPr>
        <w:t>Waiver of Immunity.</w:t>
      </w:r>
      <w:r>
        <w:rPr>
          <w:rFonts w:ascii="Times New Roman" w:hAnsi="Times New Roman" w:eastAsia="Times New Roman" w:cs="Times New Roman"/>
          <w:sz w:val="24"/>
        </w:rPr>
        <w:t xml:space="preserve"> To the extent that the Company[ or any Selling Shareholder] has or hereafter may acquire any immunity (sovereign or otherwise) from jurisdiction of any court of (i) [COMPANY’S HOME JURISDICTION], or any political subdivision thereof, (ii) the United States or the State of New York, or (iii) any jurisdiction in which it owns or leases property or assets or from any legal process (whether through service of notice, attachment prior to judgment, attachment in aid of execution, execution, set-off or otherwise) with respect to themselves or their respective property and assets or this Agreement, the Company[ and each Selling Shareholder] hereby irrevocably waive such immunity in respect of its obligations under this Agreement to the fullest extent permitted by applicable law.</w:t>
      </w:r>
    </w:p>
    <w:p>
      <w:pPr/>
      <w:r>
        <w:rPr>
          <w:rFonts w:ascii="Times New Roman" w:hAnsi="Times New Roman" w:eastAsia="Times New Roman" w:cs="Times New Roman"/>
          <w:b/>
          <w:sz w:val="24"/>
        </w:rPr>
        <w:t>Submission to Jurisdiction.</w:t>
      </w:r>
      <w:r>
        <w:rPr>
          <w:rFonts w:ascii="Times New Roman" w:hAnsi="Times New Roman" w:eastAsia="Times New Roman" w:cs="Times New Roman"/>
          <w:sz w:val="24"/>
        </w:rPr>
        <w:t xml:space="preserve"> Each of the Company[ and the Selling Shareholders] hereby submit to the exclusive jurisdiction of the U.S. federal and New York state courts in the Borough of Manhattan in The City of New York in any suit or proceeding </w:t>
      </w:r>
      <w:r>
        <w:rPr>
          <w:rFonts w:ascii="Times New Roman" w:hAnsi="Times New Roman" w:eastAsia="Times New Roman" w:cs="Times New Roman"/>
          <w:sz w:val="24"/>
        </w:rPr>
        <w:t xml:space="preserve">arising out of or relating to this Agreement or the transactions contemplated hereby. [Each of ]the Company [and the Selling Shareholders ]waive[s] any objection which it may now or hereafter have to the laying of venue of any such suit or proceeding in such courts. [Each of ]the Company[ and the Selling Shareholders] agree[s] that final judgment in any such suit, action or proceeding brought in such court shall be conclusive and binding upon the Company[ and each Selling Shareholder, as applicable,] and may be enforced in any court to the jurisdiction of which Company[ and each Selling Shareholder, as applicable,] is subject by a suit upon such judgment. The Company[ and each Selling Shareholder] irrevocably appoint[s] [AUTHORIZED AGENT], as its authorized agent in the Borough of Manhattan in The City of New York upon which process may be served in any such suit or proceeding, and agrees that service of process upon such authorized agent, and written notice of such service to the Company[ or any such Selling Shareholder, as the case may be,] by the person serving the same to the address provided in this Section </w:t>
      </w:r>
      <w:r>
        <w:rPr>
          <w:rFonts w:ascii="Times New Roman" w:hAnsi="Times New Roman" w:eastAsia="Times New Roman" w:cs="Times New Roman"/>
          <w:sz w:val="24"/>
        </w:rPr>
        <w:t>17(f)</w:t>
      </w:r>
      <w:r>
        <w:rPr>
          <w:rFonts w:ascii="Times New Roman" w:hAnsi="Times New Roman" w:eastAsia="Times New Roman" w:cs="Times New Roman"/>
          <w:sz w:val="24"/>
        </w:rPr>
        <w:t>, shall be deemed in every respect effective service of process upon the Company and such Selling Shareholder in any such suit or proceeding. Each of the Company[ and the Selling Shareholders] hereby represent and warrant that such authorized agent has accepted such appointment and has agreed to act as such authorized agent for service of process. [Each of ]the Company[ and the Selling Shareholders] further agree[s] to take any and all action as may be necessary to maintain such designation and appointment of such authorized agent in full force and effect for a period of seven years from the date of this Agreement.</w:t>
      </w:r>
    </w:p>
    <w:p>
      <w:pPr/>
      <w:r>
        <w:rPr>
          <w:rFonts w:ascii="Times New Roman" w:hAnsi="Times New Roman" w:eastAsia="Times New Roman" w:cs="Times New Roman"/>
          <w:b/>
          <w:sz w:val="24"/>
        </w:rPr>
        <w:t>Waiver of Jury Trial.</w:t>
      </w:r>
      <w:r>
        <w:rPr>
          <w:rFonts w:ascii="Times New Roman" w:hAnsi="Times New Roman" w:eastAsia="Times New Roman" w:cs="Times New Roman"/>
          <w:sz w:val="24"/>
        </w:rPr>
        <w:t xml:space="preserve"> Each of the parties hereto hereby waives any right to trial by jury in any suit or proceeding arising out of or relating to this Agreement.</w:t>
      </w:r>
    </w:p>
    <w:p>
      <w:pPr/>
      <w:r>
        <w:rPr>
          <w:rFonts w:ascii="Times New Roman" w:hAnsi="Times New Roman" w:eastAsia="Times New Roman" w:cs="Times New Roman"/>
          <w:b/>
          <w:sz w:val="24"/>
        </w:rPr>
        <w:t>Counterparts.</w:t>
      </w:r>
      <w:r>
        <w:rPr>
          <w:rFonts w:ascii="Times New Roman" w:hAnsi="Times New Roman" w:eastAsia="Times New Roman" w:cs="Times New Roman"/>
          <w:sz w:val="24"/>
        </w:rPr>
        <w:t xml:space="preserve"> This Agreement may be signed in counterparts (which may include counterparts delivered by any standard form of telecommunication), each of which shall be an original and all of which together shall constitute one and the same instrument.</w:t>
      </w:r>
    </w:p>
    <w:p>
      <w:pPr/>
      <w:r>
        <w:rPr>
          <w:rFonts w:ascii="Times New Roman" w:hAnsi="Times New Roman" w:eastAsia="Times New Roman" w:cs="Times New Roman"/>
          <w:b/>
          <w:sz w:val="24"/>
        </w:rPr>
        <w:t>Amendments or Waivers.</w:t>
      </w:r>
      <w:r>
        <w:rPr>
          <w:rFonts w:ascii="Times New Roman" w:hAnsi="Times New Roman" w:eastAsia="Times New Roman" w:cs="Times New Roman"/>
          <w:sz w:val="24"/>
        </w:rPr>
        <w:t xml:space="preserve"> No amendment or waiver of any provision of this Agreement, nor any consent or approval to any departure therefrom, shall in any event be effective unless the same shall be in writing and signed by the parties hereto.</w:t>
      </w:r>
    </w:p>
    <w:p>
      <w:pPr/>
      <w:r>
        <w:rPr>
          <w:rFonts w:ascii="Times New Roman" w:hAnsi="Times New Roman" w:eastAsia="Times New Roman" w:cs="Times New Roman"/>
          <w:b/>
          <w:sz w:val="24"/>
        </w:rPr>
        <w:t>Headings.</w:t>
      </w:r>
      <w:r>
        <w:rPr>
          <w:rFonts w:ascii="Times New Roman" w:hAnsi="Times New Roman" w:eastAsia="Times New Roman" w:cs="Times New Roman"/>
          <w:sz w:val="24"/>
        </w:rPr>
        <w:t xml:space="preserve"> The headings herein are included for convenience of reference only and are not intended to be part of, or to affect the meaning or interpretation of, this Agreement.</w:t>
      </w:r>
    </w:p>
    <w:p>
      <w:pPr/>
      <w:r>
        <w:rPr>
          <w:rFonts w:ascii="Times New Roman" w:hAnsi="Times New Roman" w:eastAsia="Times New Roman" w:cs="Times New Roman"/>
          <w:sz w:val="24"/>
        </w:rPr>
        <w:t>[Signature page follows]</w:t>
      </w:r>
    </w:p>
    <w:p>
      <w:pPr/>
    </w:p>
    <w:p>
      <w:pPr/>
      <w:r>
        <w:rPr>
          <w:rFonts w:ascii="Times New Roman" w:hAnsi="Times New Roman" w:eastAsia="Times New Roman" w:cs="Times New Roman"/>
          <w:sz w:val="24"/>
        </w:rPr>
        <w:t>If the foregoing is in accordance with your understanding, please indicate your acceptance of this Agreement by signing in the space provided below.</w:t>
      </w:r>
    </w:p>
    <w:p>
      <w:pPr/>
      <w:r>
        <w:rPr>
          <w:rFonts w:ascii="Times New Roman" w:hAnsi="Times New Roman" w:eastAsia="Times New Roman" w:cs="Times New Roman"/>
          <w:sz w:val="24"/>
        </w:rPr>
        <w:t>Very truly yours,</w:t>
      </w:r>
    </w:p>
    <w:p>
      <w:pPr/>
    </w:p>
    <w:p>
      <w:pPr>
        <w:ind w:left="4680"/>
      </w:pPr>
      <w:r>
        <w:rPr>
          <w:rFonts w:ascii="Times New Roman" w:hAnsi="Times New Roman" w:eastAsia="Times New Roman" w:cs="Times New Roman"/>
          <w:sz w:val="24"/>
        </w:rPr>
        <w:t>[COMPANY]</w:t>
      </w:r>
    </w:p>
    <w:p>
      <w:pPr/>
    </w:p>
    <w:p>
      <w:pPr/>
    </w:p>
    <w:p>
      <w:pPr>
        <w:ind w:left="4680"/>
      </w:pPr>
      <w:r>
        <w:rPr>
          <w:rFonts w:ascii="Times New Roman" w:hAnsi="Times New Roman" w:eastAsia="Times New Roman" w:cs="Times New Roman"/>
          <w:sz w:val="24"/>
        </w:rPr>
        <w:t>[Attorneys-in-Fact</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As Attorneys-in-Fact acting on behalf of each of the Selling Shareholders named in Schedule 2 to this Agreement]</w:t>
      </w:r>
    </w:p>
    <w:p>
      <w:pPr/>
      <w:r>
        <w:rPr>
          <w:rFonts w:ascii="Times New Roman" w:hAnsi="Times New Roman" w:eastAsia="Times New Roman" w:cs="Times New Roman"/>
          <w:sz w:val="24"/>
        </w:rPr>
        <w:t>Accepted: As of the date first written above</w:t>
      </w:r>
    </w:p>
    <w:p>
      <w:pPr/>
      <w:r>
        <w:rPr>
          <w:rFonts w:ascii="Times New Roman" w:hAnsi="Times New Roman" w:eastAsia="Times New Roman" w:cs="Times New Roman"/>
          <w:sz w:val="24"/>
        </w:rPr>
        <w:t>[LEAD UNDERWRITER]</w:t>
      </w:r>
    </w:p>
    <w:p>
      <w:pPr/>
      <w:r>
        <w:rPr>
          <w:rFonts w:ascii="Times New Roman" w:hAnsi="Times New Roman" w:eastAsia="Times New Roman" w:cs="Times New Roman"/>
          <w:sz w:val="24"/>
        </w:rPr>
        <w:t>For itself and on behalf of the several Underwriters listed in Schedule 1 hereto.</w:t>
      </w:r>
    </w:p>
    <w:p>
      <w:pPr/>
    </w:p>
    <w:p>
      <w:pPr/>
    </w:p>
    <w:p>
      <w:pPr/>
      <w:r>
        <w:rPr>
          <w:rFonts w:ascii="Times New Roman" w:hAnsi="Times New Roman" w:eastAsia="Times New Roman" w:cs="Times New Roman"/>
          <w:sz w:val="24"/>
        </w:rPr>
        <w:t>Authorized Signatory</w:t>
      </w:r>
    </w:p>
    <w:p>
      <w:pPr/>
    </w:p>
    <w:p>
      <w:pPr>
        <w:jc w:val="center"/>
      </w:pPr>
      <w:r>
        <w:rPr>
          <w:rFonts w:ascii="Times New Roman" w:hAnsi="Times New Roman" w:eastAsia="Times New Roman" w:cs="Times New Roman"/>
          <w:sz w:val="24"/>
        </w:rPr>
        <w:t>Schedule 1</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Schedule 1 </w:t>
      </w:r>
      <w:r>
        <w:rPr>
          <w:rFonts w:ascii="Times New Roman" w:hAnsi="Times New Roman" w:eastAsia="Times New Roman" w:cs="Times New Roman"/>
          <w:sz w:val="24"/>
        </w:rPr>
        <w:t>–</w:t>
      </w:r>
      <w:r>
        <w:rPr>
          <w:rFonts w:ascii="Times New Roman" w:hAnsi="Times New Roman" w:eastAsia="Times New Roman" w:cs="Times New Roman"/>
          <w:sz w:val="24"/>
        </w:rPr>
        <w:t xml:space="preserve"> 1</w:t>
      </w:r>
    </w:p>
    <w:p>
      <w:pPr/>
    </w:p>
    <w:p>
      <w:pPr>
        <w:jc w:val="center"/>
      </w:pPr>
      <w:r>
        <w:rPr>
          <w:rFonts w:ascii="Times New Roman" w:hAnsi="Times New Roman" w:eastAsia="Times New Roman" w:cs="Times New Roman"/>
          <w:sz w:val="24"/>
        </w:rPr>
        <w:t>Schedule 2</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Schedule 2 </w:t>
      </w:r>
      <w:r>
        <w:rPr>
          <w:rFonts w:ascii="Times New Roman" w:hAnsi="Times New Roman" w:eastAsia="Times New Roman" w:cs="Times New Roman"/>
          <w:sz w:val="24"/>
        </w:rPr>
        <w:t>–</w:t>
      </w:r>
      <w:r>
        <w:rPr>
          <w:rFonts w:ascii="Times New Roman" w:hAnsi="Times New Roman" w:eastAsia="Times New Roman" w:cs="Times New Roman"/>
          <w:sz w:val="24"/>
        </w:rPr>
        <w:t xml:space="preserve"> 1</w:t>
      </w:r>
    </w:p>
    <w:p>
      <w:pPr/>
    </w:p>
    <w:p>
      <w:pPr>
        <w:jc w:val="center"/>
      </w:pPr>
      <w:r>
        <w:rPr>
          <w:rFonts w:ascii="Times New Roman" w:hAnsi="Times New Roman" w:eastAsia="Times New Roman" w:cs="Times New Roman"/>
          <w:sz w:val="24"/>
        </w:rPr>
        <w:t>Schedule 3</w:t>
      </w:r>
      <w:r>
        <w:rPr>
          <w:rFonts w:ascii="Times New Roman" w:hAnsi="Times New Roman" w:eastAsia="Times New Roman" w:cs="Times New Roman"/>
          <w:sz w:val="24"/>
        </w:rPr>
        <w:t xml:space="preserve">. </w:t>
      </w:r>
      <w:r>
        <w:rPr>
          <w:rFonts w:ascii="Times New Roman" w:hAnsi="Times New Roman" w:eastAsia="Times New Roman" w:cs="Times New Roman"/>
          <w:sz w:val="24"/>
        </w:rPr>
        <w:t>Significant Subsidiaries</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Schedule 3 </w:t>
      </w:r>
      <w:r>
        <w:rPr>
          <w:rFonts w:ascii="Times New Roman" w:hAnsi="Times New Roman" w:eastAsia="Times New Roman" w:cs="Times New Roman"/>
          <w:sz w:val="24"/>
        </w:rPr>
        <w:t>–</w:t>
      </w:r>
      <w:r>
        <w:rPr>
          <w:rFonts w:ascii="Times New Roman" w:hAnsi="Times New Roman" w:eastAsia="Times New Roman" w:cs="Times New Roman"/>
          <w:sz w:val="24"/>
        </w:rPr>
        <w:t xml:space="preserve"> 1</w:t>
      </w:r>
    </w:p>
    <w:p>
      <w:pPr/>
    </w:p>
    <w:p>
      <w:pPr>
        <w:jc w:val="center"/>
      </w:pPr>
      <w:r>
        <w:rPr>
          <w:rFonts w:ascii="Times New Roman" w:hAnsi="Times New Roman" w:eastAsia="Times New Roman" w:cs="Times New Roman"/>
          <w:sz w:val="24"/>
        </w:rPr>
        <w:t>Annex A</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Pricing Disclosure Package</w:t>
      </w: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Pricing Information Provided Orally by Underwriters</w:t>
      </w:r>
    </w:p>
    <w:p>
      <w:pPr/>
      <w:r>
        <w:rPr>
          <w:rFonts w:ascii="Times New Roman" w:hAnsi="Times New Roman" w:eastAsia="Times New Roman" w:cs="Times New Roman"/>
          <w:sz w:val="24"/>
        </w:rPr>
        <w:t xml:space="preserve">Annex A </w:t>
      </w:r>
      <w:r>
        <w:rPr>
          <w:rFonts w:ascii="Times New Roman" w:hAnsi="Times New Roman" w:eastAsia="Times New Roman" w:cs="Times New Roman"/>
          <w:sz w:val="24"/>
        </w:rPr>
        <w:t>–</w:t>
      </w:r>
      <w:r>
        <w:rPr>
          <w:rFonts w:ascii="Times New Roman" w:hAnsi="Times New Roman" w:eastAsia="Times New Roman" w:cs="Times New Roman"/>
          <w:sz w:val="24"/>
        </w:rPr>
        <w:t xml:space="preserve"> 1</w:t>
      </w:r>
    </w:p>
    <w:p>
      <w:pPr/>
    </w:p>
    <w:p>
      <w:pPr>
        <w:jc w:val="center"/>
      </w:pPr>
      <w:r>
        <w:rPr>
          <w:rFonts w:ascii="Times New Roman" w:hAnsi="Times New Roman" w:eastAsia="Times New Roman" w:cs="Times New Roman"/>
          <w:sz w:val="24"/>
        </w:rPr>
        <w:t>Annex B-1</w:t>
      </w:r>
      <w:r>
        <w:rPr>
          <w:rFonts w:ascii="Times New Roman" w:hAnsi="Times New Roman" w:eastAsia="Times New Roman" w:cs="Times New Roman"/>
          <w:sz w:val="24"/>
        </w:rPr>
        <w:t>.</w:t>
      </w:r>
    </w:p>
    <w:p>
      <w:pPr/>
      <w:r>
        <w:rPr>
          <w:rFonts w:ascii="Times New Roman" w:hAnsi="Times New Roman" w:eastAsia="Times New Roman" w:cs="Times New Roman"/>
          <w:b w:val="0"/>
          <w:sz w:val="24"/>
        </w:rPr>
        <w:t>Form of Opinion and 10b-5 Letter of U.S. Counsel for the Company and the Selling Shareholders</w:t>
      </w:r>
      <w:r>
        <w:rPr>
          <w:rFonts w:ascii="Times New Roman" w:hAnsi="Times New Roman" w:eastAsia="Times New Roman" w:cs="Times New Roman"/>
          <w:sz w:val="24"/>
        </w:rPr>
        <w:t>.</w:t>
      </w:r>
    </w:p>
    <w:p>
      <w:pPr/>
      <w:r>
        <w:rPr>
          <w:rFonts w:ascii="Times New Roman" w:hAnsi="Times New Roman" w:eastAsia="Times New Roman" w:cs="Times New Roman"/>
          <w:sz w:val="24"/>
        </w:rPr>
        <w:t>Annex B 1 - 1</w:t>
      </w:r>
    </w:p>
    <w:p>
      <w:pPr/>
    </w:p>
    <w:p>
      <w:pPr>
        <w:jc w:val="center"/>
      </w:pPr>
      <w:r>
        <w:rPr>
          <w:rFonts w:ascii="Times New Roman" w:hAnsi="Times New Roman" w:eastAsia="Times New Roman" w:cs="Times New Roman"/>
          <w:sz w:val="24"/>
        </w:rPr>
        <w:t>Annex B-2</w:t>
      </w:r>
      <w:r>
        <w:rPr>
          <w:rFonts w:ascii="Times New Roman" w:hAnsi="Times New Roman" w:eastAsia="Times New Roman" w:cs="Times New Roman"/>
          <w:sz w:val="24"/>
        </w:rPr>
        <w:t>.</w:t>
      </w:r>
    </w:p>
    <w:p>
      <w:pPr/>
      <w:r>
        <w:rPr>
          <w:rFonts w:ascii="Times New Roman" w:hAnsi="Times New Roman" w:eastAsia="Times New Roman" w:cs="Times New Roman"/>
          <w:b w:val="0"/>
          <w:sz w:val="24"/>
        </w:rPr>
        <w:t>Form of Opinion and 10b-5 Letter of [COMPANY’S HOME JURISDICTION] Counsel</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the Company and the Selling Shareholders</w:t>
      </w:r>
      <w:r>
        <w:rPr>
          <w:rFonts w:ascii="Times New Roman" w:hAnsi="Times New Roman" w:eastAsia="Times New Roman" w:cs="Times New Roman"/>
          <w:b w:val="0"/>
          <w:sz w:val="24"/>
        </w:rPr>
        <w:t>.</w:t>
      </w:r>
    </w:p>
    <w:p>
      <w:pPr/>
      <w:r>
        <w:rPr>
          <w:rFonts w:ascii="Times New Roman" w:hAnsi="Times New Roman" w:eastAsia="Times New Roman" w:cs="Times New Roman"/>
          <w:sz w:val="24"/>
        </w:rPr>
        <w:t>Annex B 2 - 1</w:t>
      </w:r>
    </w:p>
    <w:p>
      <w:pPr/>
    </w:p>
    <w:p>
      <w:pPr>
        <w:jc w:val="center"/>
      </w:pPr>
      <w:r>
        <w:rPr>
          <w:rFonts w:ascii="Times New Roman" w:hAnsi="Times New Roman" w:eastAsia="Times New Roman" w:cs="Times New Roman"/>
          <w:sz w:val="24"/>
        </w:rPr>
        <w:t>Annex B-3</w:t>
      </w:r>
      <w:r>
        <w:rPr>
          <w:rFonts w:ascii="Times New Roman" w:hAnsi="Times New Roman" w:eastAsia="Times New Roman" w:cs="Times New Roman"/>
          <w:sz w:val="24"/>
        </w:rPr>
        <w:t>.</w:t>
      </w:r>
    </w:p>
    <w:p>
      <w:pPr/>
      <w:r>
        <w:rPr>
          <w:rFonts w:ascii="Times New Roman" w:hAnsi="Times New Roman" w:eastAsia="Times New Roman" w:cs="Times New Roman"/>
          <w:b w:val="0"/>
          <w:sz w:val="24"/>
        </w:rPr>
        <w:t>Form of Opinion of Counsel for the Depositary</w:t>
      </w:r>
      <w:r>
        <w:rPr>
          <w:rFonts w:ascii="Times New Roman" w:hAnsi="Times New Roman" w:eastAsia="Times New Roman" w:cs="Times New Roman"/>
          <w:b w:val="0"/>
          <w:sz w:val="24"/>
        </w:rPr>
        <w:t>.</w:t>
      </w:r>
    </w:p>
    <w:p>
      <w:pPr/>
      <w:r>
        <w:rPr>
          <w:rFonts w:ascii="Times New Roman" w:hAnsi="Times New Roman" w:eastAsia="Times New Roman" w:cs="Times New Roman"/>
          <w:sz w:val="24"/>
        </w:rPr>
        <w:t>Annex B 3 - 1</w:t>
      </w:r>
    </w:p>
    <w:p>
      <w:pPr/>
    </w:p>
    <w:p>
      <w:pPr>
        <w:jc w:val="center"/>
      </w:pPr>
      <w:r>
        <w:rPr>
          <w:rFonts w:ascii="Times New Roman" w:hAnsi="Times New Roman" w:eastAsia="Times New Roman" w:cs="Times New Roman"/>
          <w:sz w:val="24"/>
        </w:rPr>
        <w:t>Exhibit A</w:t>
      </w:r>
      <w:r>
        <w:rPr>
          <w:rFonts w:ascii="Times New Roman" w:hAnsi="Times New Roman" w:eastAsia="Times New Roman" w:cs="Times New Roman"/>
          <w:sz w:val="24"/>
        </w:rPr>
        <w:t xml:space="preserve">. </w:t>
      </w:r>
      <w:r>
        <w:rPr>
          <w:rFonts w:ascii="Times New Roman" w:hAnsi="Times New Roman" w:eastAsia="Times New Roman" w:cs="Times New Roman"/>
          <w:sz w:val="24"/>
        </w:rPr>
        <w:t>Form of Waiver of Lock-up</w:t>
      </w:r>
      <w:r>
        <w:rPr>
          <w:rFonts w:ascii="Times New Roman" w:hAnsi="Times New Roman" w:eastAsia="Times New Roman" w:cs="Times New Roman"/>
          <w:sz w:val="24"/>
        </w:rPr>
        <w:t>.</w:t>
      </w:r>
    </w:p>
    <w:p>
      <w:pPr/>
      <w:r>
        <w:rPr>
          <w:rFonts w:ascii="Times New Roman" w:hAnsi="Times New Roman" w:eastAsia="Times New Roman" w:cs="Times New Roman"/>
          <w:sz w:val="24"/>
        </w:rPr>
        <w:t>[LEAD UNDERWRITER]</w:t>
      </w:r>
    </w:p>
    <w:p>
      <w:pPr/>
      <w:r>
        <w:rPr>
          <w:rFonts w:ascii="Times New Roman" w:hAnsi="Times New Roman" w:eastAsia="Times New Roman" w:cs="Times New Roman"/>
          <w:sz w:val="24"/>
        </w:rPr>
        <w:t>[COMPANY]</w:t>
      </w:r>
    </w:p>
    <w:p>
      <w:pPr/>
      <w:r>
        <w:rPr>
          <w:rFonts w:ascii="Times New Roman" w:hAnsi="Times New Roman" w:eastAsia="Times New Roman" w:cs="Times New Roman"/>
          <w:sz w:val="24"/>
        </w:rPr>
        <w:t>Public Offering of ADSs</w:t>
      </w:r>
    </w:p>
    <w:p>
      <w:pPr>
        <w:ind w:left="5040"/>
      </w:pPr>
      <w:r>
        <w:rPr>
          <w:rFonts w:ascii="Times New Roman" w:hAnsi="Times New Roman" w:eastAsia="Times New Roman" w:cs="Times New Roman"/>
          <w:sz w:val="24"/>
        </w:rPr>
        <w:t>[Date]</w:t>
      </w:r>
    </w:p>
    <w:p>
      <w:pPr/>
      <w:r>
        <w:rPr>
          <w:rFonts w:ascii="Times New Roman" w:hAnsi="Times New Roman" w:eastAsia="Times New Roman" w:cs="Times New Roman"/>
          <w:sz w:val="24"/>
        </w:rPr>
        <w:t>[Name and Address of Officer or Director Requesting Waiver]</w:t>
      </w:r>
    </w:p>
    <w:p>
      <w:pPr/>
      <w:r>
        <w:rPr>
          <w:rFonts w:ascii="Times New Roman" w:hAnsi="Times New Roman" w:eastAsia="Times New Roman" w:cs="Times New Roman"/>
          <w:sz w:val="24"/>
        </w:rPr>
        <w:t>Dear Mr./Ms. [Name]:</w:t>
      </w:r>
    </w:p>
    <w:p>
      <w:pPr/>
      <w:r>
        <w:rPr>
          <w:rFonts w:ascii="Times New Roman" w:hAnsi="Times New Roman" w:eastAsia="Times New Roman" w:cs="Times New Roman"/>
          <w:sz w:val="24"/>
        </w:rPr>
        <w:t>This letter is being delivered to you in connection with the offering by [COMPANY] (the “</w:t>
      </w:r>
      <w:r>
        <w:rPr>
          <w:rFonts w:ascii="Times New Roman" w:hAnsi="Times New Roman" w:eastAsia="Times New Roman" w:cs="Times New Roman"/>
          <w:sz w:val="24"/>
        </w:rPr>
        <w:t>Company</w:t>
      </w:r>
      <w:r>
        <w:rPr>
          <w:rFonts w:ascii="Times New Roman" w:hAnsi="Times New Roman" w:eastAsia="Times New Roman" w:cs="Times New Roman"/>
          <w:sz w:val="24"/>
        </w:rPr>
        <w:t>”) [and certain Selling Shareholders] of [NUMBER] [Class [CLASS]] ordinary shares of the Company (the “</w:t>
      </w:r>
      <w:r>
        <w:rPr>
          <w:rFonts w:ascii="Times New Roman" w:hAnsi="Times New Roman" w:eastAsia="Times New Roman" w:cs="Times New Roman"/>
          <w:sz w:val="24"/>
        </w:rPr>
        <w:t>Shares</w:t>
      </w:r>
      <w:r>
        <w:rPr>
          <w:rFonts w:ascii="Times New Roman" w:hAnsi="Times New Roman" w:eastAsia="Times New Roman" w:cs="Times New Roman"/>
          <w:sz w:val="24"/>
        </w:rPr>
        <w:t>”) in the form of American Depositary Shares (the “</w:t>
      </w:r>
      <w:r>
        <w:rPr>
          <w:rFonts w:ascii="Times New Roman" w:hAnsi="Times New Roman" w:eastAsia="Times New Roman" w:cs="Times New Roman"/>
          <w:sz w:val="24"/>
        </w:rPr>
        <w:t>ADSs</w:t>
      </w:r>
      <w:r>
        <w:rPr>
          <w:rFonts w:ascii="Times New Roman" w:hAnsi="Times New Roman" w:eastAsia="Times New Roman" w:cs="Times New Roman"/>
          <w:sz w:val="24"/>
        </w:rPr>
        <w:t>”), of the Company and the lock-up letter dated [DATE] (the “</w:t>
      </w:r>
      <w:r>
        <w:rPr>
          <w:rFonts w:ascii="Times New Roman" w:hAnsi="Times New Roman" w:eastAsia="Times New Roman" w:cs="Times New Roman"/>
          <w:sz w:val="24"/>
        </w:rPr>
        <w:t>Lock-up Letter</w:t>
      </w:r>
      <w:r>
        <w:rPr>
          <w:rFonts w:ascii="Times New Roman" w:hAnsi="Times New Roman" w:eastAsia="Times New Roman" w:cs="Times New Roman"/>
          <w:sz w:val="24"/>
        </w:rPr>
        <w:t>”), executed by you in connection with such offering, and your request for a [waiver] [release] dated [DATE], with respect to [] (the “</w:t>
      </w:r>
      <w:r>
        <w:rPr>
          <w:rFonts w:ascii="Times New Roman" w:hAnsi="Times New Roman" w:eastAsia="Times New Roman" w:cs="Times New Roman"/>
          <w:sz w:val="24"/>
        </w:rPr>
        <w:t>ADSs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[LEAD UNDERWRITER] hereby agree to [waive] [release] the transfer restrictions set forth in the Lock-up Letter, but only with respect to [NUMBER] Shares, effective [DATE]; </w:t>
      </w:r>
      <w:r>
        <w:rPr>
          <w:rFonts w:ascii="Times New Roman" w:hAnsi="Times New Roman" w:eastAsia="Times New Roman" w:cs="Times New Roman"/>
          <w:sz w:val="24"/>
        </w:rPr>
        <w:t>provided, however</w:t>
      </w:r>
      <w:r>
        <w:rPr>
          <w:rFonts w:ascii="Times New Roman" w:hAnsi="Times New Roman" w:eastAsia="Times New Roman" w:cs="Times New Roman"/>
          <w:sz w:val="24"/>
        </w:rPr>
        <w:t>, that such [waiver] [release] is conditioned on the Company announcing the impending [waiver] [release] by press release through a major news service at least two business days before effectiveness of such [waiver] [release]. This letter will serve as notice to the Company of the impending [waiver] [release].</w:t>
      </w:r>
    </w:p>
    <w:p>
      <w:pPr/>
      <w:r>
        <w:rPr>
          <w:rFonts w:ascii="Times New Roman" w:hAnsi="Times New Roman" w:eastAsia="Times New Roman" w:cs="Times New Roman"/>
          <w:sz w:val="24"/>
        </w:rPr>
        <w:t>Except as expressly [waived] [released] hereby, the Lock-up Letter shall remain in full force and effect.</w:t>
      </w:r>
    </w:p>
    <w:p>
      <w:pPr>
        <w:ind w:left="5040"/>
      </w:pPr>
      <w:r>
        <w:rPr>
          <w:rFonts w:ascii="Times New Roman" w:hAnsi="Times New Roman" w:eastAsia="Times New Roman" w:cs="Times New Roman"/>
          <w:sz w:val="24"/>
        </w:rPr>
        <w:t>Yours very truly,</w:t>
      </w:r>
    </w:p>
    <w:p>
      <w:pPr>
        <w:ind w:left="5040"/>
      </w:pPr>
      <w:r>
        <w:rPr>
          <w:rFonts w:ascii="Times New Roman" w:hAnsi="Times New Roman" w:eastAsia="Times New Roman" w:cs="Times New Roman"/>
          <w:sz w:val="24"/>
        </w:rPr>
        <w:t>[Signature of [LEAD UNDERWRITER] Representatives]</w:t>
      </w:r>
    </w:p>
    <w:p>
      <w:pPr>
        <w:ind w:left="5040"/>
      </w:pPr>
      <w:r>
        <w:rPr>
          <w:rFonts w:ascii="Times New Roman" w:hAnsi="Times New Roman" w:eastAsia="Times New Roman" w:cs="Times New Roman"/>
          <w:sz w:val="24"/>
        </w:rPr>
        <w:t>[Name of LEAD UNDERWRITER Representatives]</w:t>
      </w:r>
    </w:p>
    <w:p>
      <w:pPr/>
      <w:r>
        <w:rPr>
          <w:rFonts w:ascii="Times New Roman" w:hAnsi="Times New Roman" w:eastAsia="Times New Roman" w:cs="Times New Roman"/>
          <w:sz w:val="24"/>
        </w:rPr>
        <w:t>Exhibit A - 1</w:t>
      </w:r>
    </w:p>
    <w:p>
      <w:pPr/>
    </w:p>
    <w:p>
      <w:pPr>
        <w:jc w:val="center"/>
      </w:pPr>
      <w:r>
        <w:rPr>
          <w:rFonts w:ascii="Times New Roman" w:hAnsi="Times New Roman" w:eastAsia="Times New Roman" w:cs="Times New Roman"/>
          <w:sz w:val="24"/>
        </w:rPr>
        <w:t>Exhibit B</w:t>
      </w:r>
      <w:r>
        <w:rPr>
          <w:rFonts w:ascii="Times New Roman" w:hAnsi="Times New Roman" w:eastAsia="Times New Roman" w:cs="Times New Roman"/>
          <w:sz w:val="24"/>
        </w:rPr>
        <w:t xml:space="preserve">. </w:t>
      </w:r>
      <w:r>
        <w:rPr>
          <w:rFonts w:ascii="Times New Roman" w:hAnsi="Times New Roman" w:eastAsia="Times New Roman" w:cs="Times New Roman"/>
          <w:sz w:val="24"/>
        </w:rPr>
        <w:t>Form of Press Release</w:t>
      </w:r>
      <w:r>
        <w:rPr>
          <w:rFonts w:ascii="Times New Roman" w:hAnsi="Times New Roman" w:eastAsia="Times New Roman" w:cs="Times New Roman"/>
          <w:sz w:val="24"/>
        </w:rPr>
        <w:t>.</w:t>
      </w:r>
    </w:p>
    <w:p>
      <w:pPr/>
      <w:r>
        <w:rPr>
          <w:rFonts w:ascii="Times New Roman" w:hAnsi="Times New Roman" w:eastAsia="Times New Roman" w:cs="Times New Roman"/>
          <w:sz w:val="24"/>
        </w:rPr>
        <w:t>[COMPANY]</w:t>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[COMPANY](“</w:t>
      </w:r>
      <w:r>
        <w:rPr>
          <w:rFonts w:ascii="Times New Roman" w:hAnsi="Times New Roman" w:eastAsia="Times New Roman" w:cs="Times New Roman"/>
          <w:sz w:val="24"/>
        </w:rPr>
        <w:t>Company</w:t>
      </w:r>
      <w:r>
        <w:rPr>
          <w:rFonts w:ascii="Times New Roman" w:hAnsi="Times New Roman" w:eastAsia="Times New Roman" w:cs="Times New Roman"/>
          <w:sz w:val="24"/>
        </w:rPr>
        <w:t>”) announced today that [UNDERWRITER], the international underwriter[s] in the Company’s[ and certain Selling Shareholders’] recent public sale of [NUMBER] [Class [CLASS]] ordinary shares of the Company (the “</w:t>
      </w:r>
      <w:r>
        <w:rPr>
          <w:rFonts w:ascii="Times New Roman" w:hAnsi="Times New Roman" w:eastAsia="Times New Roman" w:cs="Times New Roman"/>
          <w:sz w:val="24"/>
        </w:rPr>
        <w:t>Shares</w:t>
      </w:r>
      <w:r>
        <w:rPr>
          <w:rFonts w:ascii="Times New Roman" w:hAnsi="Times New Roman" w:eastAsia="Times New Roman" w:cs="Times New Roman"/>
          <w:sz w:val="24"/>
        </w:rPr>
        <w:t>”), in the form of American Depositary Shares (the “</w:t>
      </w:r>
      <w:r>
        <w:rPr>
          <w:rFonts w:ascii="Times New Roman" w:hAnsi="Times New Roman" w:eastAsia="Times New Roman" w:cs="Times New Roman"/>
          <w:sz w:val="24"/>
        </w:rPr>
        <w:t>ADSs</w:t>
      </w:r>
      <w:r>
        <w:rPr>
          <w:rFonts w:ascii="Times New Roman" w:hAnsi="Times New Roman" w:eastAsia="Times New Roman" w:cs="Times New Roman"/>
          <w:sz w:val="24"/>
        </w:rPr>
        <w:t>”) is [waiving] [releasing] a lock-up restriction with respect to [NUMBER] Shares held by [certain officers or directors] [an officer or director] of the Company. The [waiver] [release] will take effect on [DATE], and the Shares may be sold on or after such date.</w:t>
      </w:r>
    </w:p>
    <w:p>
      <w:pPr/>
      <w:r>
        <w:rPr>
          <w:rFonts w:ascii="Times New Roman" w:hAnsi="Times New Roman" w:eastAsia="Times New Roman" w:cs="Times New Roman"/>
          <w:b/>
          <w:sz w:val="24"/>
        </w:rPr>
        <w:t>This press release is not an offer for sale of the securities in the United States or in any other jurisdiction where such offer is prohibited, and such securities may not be offered or sold in the United States absent registration or an exemption from registration under the United States Securities Act of 1933, as amended.</w:t>
      </w:r>
    </w:p>
    <w:p>
      <w:pPr/>
      <w:r>
        <w:rPr>
          <w:rFonts w:ascii="Times New Roman" w:hAnsi="Times New Roman" w:eastAsia="Times New Roman" w:cs="Times New Roman"/>
          <w:sz w:val="24"/>
        </w:rPr>
        <w:t xml:space="preserve">Exhibit B </w:t>
      </w:r>
      <w:r>
        <w:rPr>
          <w:rFonts w:ascii="Times New Roman" w:hAnsi="Times New Roman" w:eastAsia="Times New Roman" w:cs="Times New Roman"/>
          <w:sz w:val="24"/>
        </w:rPr>
        <w:t>–</w:t>
      </w:r>
      <w:r>
        <w:rPr>
          <w:rFonts w:ascii="Times New Roman" w:hAnsi="Times New Roman" w:eastAsia="Times New Roman" w:cs="Times New Roman"/>
          <w:sz w:val="24"/>
        </w:rPr>
        <w:t xml:space="preserve"> 1</w:t>
      </w:r>
    </w:p>
    <w:p>
      <w:pPr/>
    </w:p>
    <w:p>
      <w:pPr>
        <w:jc w:val="center"/>
      </w:pPr>
      <w:r>
        <w:rPr>
          <w:rFonts w:ascii="Times New Roman" w:hAnsi="Times New Roman" w:eastAsia="Times New Roman" w:cs="Times New Roman"/>
          <w:sz w:val="24"/>
        </w:rPr>
        <w:t>Exhibit C</w:t>
      </w:r>
      <w:r>
        <w:rPr>
          <w:rFonts w:ascii="Times New Roman" w:hAnsi="Times New Roman" w:eastAsia="Times New Roman" w:cs="Times New Roman"/>
          <w:sz w:val="24"/>
        </w:rPr>
        <w:t xml:space="preserve">. </w:t>
      </w:r>
      <w:r>
        <w:rPr>
          <w:rFonts w:ascii="Times New Roman" w:hAnsi="Times New Roman" w:eastAsia="Times New Roman" w:cs="Times New Roman"/>
          <w:sz w:val="24"/>
        </w:rPr>
        <w:t>Form of Lock-Up Agreement</w:t>
      </w:r>
      <w:r>
        <w:rPr>
          <w:rFonts w:ascii="Times New Roman" w:hAnsi="Times New Roman" w:eastAsia="Times New Roman" w:cs="Times New Roman"/>
          <w:sz w:val="24"/>
        </w:rPr>
        <w:t>.</w:t>
      </w:r>
    </w:p>
    <w:p>
      <w:pPr/>
      <w:r>
        <w:rPr>
          <w:rFonts w:ascii="Times New Roman" w:hAnsi="Times New Roman" w:eastAsia="Times New Roman" w:cs="Times New Roman"/>
          <w:sz w:val="24"/>
        </w:rPr>
        <w:t>Exhibit C - 3</w:t>
      </w:r>
    </w:p>
    <w:p>
      <w:pPr/>
    </w:p>
    <w:p>
      <w:pPr>
        <w:jc w:val="center"/>
      </w:pPr>
      <w:r>
        <w:rPr>
          <w:rFonts w:ascii="Times New Roman" w:hAnsi="Times New Roman" w:eastAsia="Times New Roman" w:cs="Times New Roman"/>
          <w:sz w:val="24"/>
        </w:rPr>
        <w:t>Exhibit D</w:t>
      </w:r>
      <w:r>
        <w:rPr>
          <w:rFonts w:ascii="Times New Roman" w:hAnsi="Times New Roman" w:eastAsia="Times New Roman" w:cs="Times New Roman"/>
          <w:sz w:val="24"/>
        </w:rPr>
        <w:t xml:space="preserve">. </w:t>
      </w:r>
      <w:r>
        <w:rPr>
          <w:rFonts w:ascii="Times New Roman" w:hAnsi="Times New Roman" w:eastAsia="Times New Roman" w:cs="Times New Roman"/>
          <w:sz w:val="24"/>
        </w:rPr>
        <w:t>Shareholders, Directors and Officers of the Company to Provide Lock-up Agreements</w:t>
      </w:r>
      <w:r>
        <w:rPr>
          <w:rFonts w:ascii="Times New Roman" w:hAnsi="Times New Roman" w:eastAsia="Times New Roman" w:cs="Times New Roman"/>
          <w:sz w:val="24"/>
        </w:rPr>
        <w:t>.</w:t>
      </w:r>
    </w:p>
    <w:p>
      <w:pPr/>
      <w:r>
        <w:rPr>
          <w:rFonts w:ascii="Times New Roman" w:hAnsi="Times New Roman" w:eastAsia="Times New Roman" w:cs="Times New Roman"/>
          <w:sz w:val="24"/>
        </w:rPr>
        <w:t>Exhibit D - 1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