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(the ''Agreement'') is entered into by and between [party disclosing confidential information] (the "Disclosing Party") and [party receiving confidential information] (the "Receiving Party''). The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disclosure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purposes of this Agreement, ''Confidential Information'' shall include all nonpublic information disclosed directly or indirectly by the Disclosing Party to the Receiving Party, whether written, oral, electronic, or otherwise, through any means of communication or observation. This Agreement shall not require the Disclosing Party to disclose any of its Confidential Information. All Confidential Information will remain the exclusive property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(b) was rightfully in the possession of the Receiving Party prior to its receipt from the Disclosing Party; or (c) is disclosed with the prior written consent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Receiving Party is requested or required by legal action to disclose any of the Disclosing Party's Confidential Information, the Receiving Party will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upon written notice. Upon termination of this Agreement, the Receiving Party shall immediately cease all use of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promptly return or, at the Disclosing Party's option, destroy all copies of Confidential Information at any time upon request by the Disclosing Party or within ten (10) days following the termination of this Agreement. The Receiving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not obligate the Disclosing Party to enter into any other business arrangement or agreement with the Receiving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of Tennessee excluding its conflict of law provisions. The Parties agree that any action arising out of this Agreement will be brought solely in any state or federal court located in Tennessee,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