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Maryland excluding its conflict of law provisions. The Parties hereby agree that any action arising out of this Agreement will be brought solely in any state or federal court located in Maryland,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