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("Agreement") is made as of [date] (the "Effective Date"), by and between [party disclosing confidential information] ("the Disclosing Party") and [party receiving confidential information], together with its subsidiaries, parent companies and affiliates (collectively the "Receiving Party"; the Disclosing Party and Receiving Party sometimes are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[detailed description of business opportunity] (the "Purpose"), the Disclosing Party may disclose to the Receiving Party information which is confidential to the Disclosing Party.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"Confidential Information" shall mean all non-public and confidential or proprietary information that is provided by the Disclosing Party to the Receiving Party pursuant to the Purpose which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if in tangible form is marked as confidential at the time of disclosure, or (b) if communicated orally, visually or in any other manner is identified as confidential at the time of disclosure and is confirmed within ten (10) days after the date of disclosure by the Disclosing Party in written form summarizing the information considered confidential. This Agreement only applies to Confidential Information provided after the Effective Date. The Disclosing Party warrants that it has the right to make the disclosures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hold the Confidential Information in confidence and protect Confidential Information received pursuant to this Agreement by using the same standard of care which it uses to protect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its unauthorized use, disclosure, dissemination, or publication.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will only use the Confidential Information for the Purpose. Except as permitted by this Agreement, the Receiving Party shall not disclose any Confidential Information to any third party or use any Confidential Information for the Receiving Party's own benefit or for the benefit of any third party without the Disclosing Party's prior consent. The Receiving Party may disclose Confidential Information to its corporate affiliates, directors, managers, officers, employees, and agents or advisors, including attorneys, accountants, consultants, subcontractors, bankers and financial advisors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may make copies of the Confidential Information as may be reasonably necessary to fulfill the Purpose.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not impose any obligation upon the Receiving Party with respect to information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(d) is disclosed with the prior written consent of the Disclosing Party; (e) is independently developed by the Receiving Party without use of the Disclosing Party's Confidential Information; or (f) is disclosed by the Disclosing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any duty of confidentiality.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Receiving Party is confronted with legal action to disclose any of the Confidential Information, the Receiving Party will, unless prohibited by applicable law, provide the Disclosing Party with prompt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only apply to Confidential Information that is disclosed to Receiving Party between the Effective Date and one (1) year thereafter. The Receiving Party's confidentiality obligations under this Agreement shall expire one (1) year from the date of its receipt of the Confidential Information. Either Party may terminate this Agreement at any time by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termination to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Receiving Party shall promptly return or destroy all copies of Confidential Information at any time upon request by the Disclosing Party. Notwithstanding the foregoing, the Receiving Party may retain one (1) copy of such Confidential Information in its legal archives for the purpose of determining and meeting its obligations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agree that neither the holding of discussions between the Parties nor the disclosure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This Agreement does not create any agency, partnership or joint venture relationship between the Parties. Nothing in this Agreement prohibits the Parties from entering into agreements with any third parties or from developing, making and marketing products or services which may be similar to or competitive with the other Party's products or services.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construed in accordance with the laws of the state of Ohio excluding its conflict of law provisions. The Parties hereby agree that any action arising out of this Agreement will be brought solely in any state or federal court located in Ohio, [county]. The Parties hereby consent to the exclusive personal jurisdiction of such courts, and waive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