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w:t>
      </w:r>
      <w:r>
        <w:rPr>
          <w:rFonts w:ascii="Times New Roman" w:hAnsi="Times New Roman" w:eastAsia="Times New Roman" w:cs="Times New Roman"/>
          <w:b w:val="0"/>
          <w:sz w:val="24"/>
        </w:rPr>
        <w:t>require</w:t>
      </w:r>
      <w:r>
        <w:rPr>
          <w:rFonts w:ascii="Times New Roman" w:hAnsi="Times New Roman" w:eastAsia="Times New Roman" w:cs="Times New Roman"/>
          <w:b w:val="0"/>
          <w:sz w:val="24"/>
        </w:rPr>
        <w:t xml:space="preserv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the laws of the state of Georgia excluding its conflict of law provisions. The Parties agree that any action arising out of this Agreement will be brought solely in any state or federal court located in Georgia,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72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72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