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on behalf of itself and its subsidiaries, affiliates, agents and representatives,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 </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Massachusetts excluding its conflict of law provisions. The Parties agree that any action arising out of this Agreement will be brought solely in any state or federal court located in Massachusetts,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