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Michigan excluding its conflict of law provisions. The Parties agree that any action arising out of this Agreement will be brought solely in any state or federal court located in Michigan,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