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on behalf of itself and its subsidiaries, affiliates, agents and representatives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Washington excluding its conflict of law provisions. The Parties agree that any action arising out of this Agreement will be brought solely in any state or federal court located in Washington,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