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Unpaid Ordinary Course of Business Expenditures Questionnaire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Instructions: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Please fill out and gather the information requested in the below schedules. If any of the requested information is not applicable to the Company, please write "N/</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appropriate box on the schedule. If there is insufficient space, please separately attach the requested information (if possible,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excel spreadsheet). This information will be used in filings made with the bankruptcy court to ensure that the business can continue without interruption after the bankruptcy filing. Please keep in mind that certain pleadings prepared with this information may need to be signed by you under oath and under the penalty of perjury. Therefore, it is important to provide complete and accurate information. Please feel free to contact me with any questions or concerns.</w:t>
      </w:r>
    </w:p>
    <w:p>
      <w:pPr>
        <w:keepNext w:val="0"/>
        <w:spacing w:before="120" w:after="0" w:line="260" w:lineRule="exact"/>
        <w:ind w:left="360" w:right="0" w:firstLine="0"/>
        <w:jc w:val="left"/>
      </w:pPr>
      <w:r>
        <w:rPr>
          <w:rFonts w:ascii="Times New Roman" w:hAnsi="Times New Roman" w:eastAsia="Times New Roman" w:cs="Times New Roman"/>
          <w:b/>
          <w:sz w:val="24"/>
        </w:rPr>
        <w:t>Schedule of Critical Vendors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Certain vendors may refuse to provide essential goods or services unless such vendors receive payment for the amounts owed prior to the bankruptcy filing. The Company may need to pay these vendors (referred to as critical vendors) their pre-bankruptcy (referred to as pre-petition) claims to ensure it will still receive the goods and services vital to its business. The information requested below is needed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approve payment of the outstanding pre-petition amounts to critical vendors. The below schedule requests information concerning the following questions which are among the considerations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vendor should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critical vendor:</w:t>
      </w:r>
    </w:p>
    <w:p>
      <w:pPr>
        <w:keepNext w:val="0"/>
        <w:spacing w:before="200" w:after="0" w:line="260" w:lineRule="exact"/>
        <w:ind w:left="1080" w:right="0" w:firstLine="0"/>
        <w:jc w:val="both"/>
      </w:pPr>
      <w:r>
        <w:rPr>
          <w:rFonts w:ascii="Times New Roman" w:hAnsi="Times New Roman" w:eastAsia="Times New Roman" w:cs="Times New Roman"/>
          <w:b w:val="0"/>
          <w:sz w:val="24"/>
        </w:rPr>
        <w:t>• Are the services and goods critical to the debtor's operations?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place whereby the vendor is required to continue providing goods and services?</w:t>
      </w:r>
    </w:p>
    <w:p>
      <w:pPr>
        <w:keepNext w:val="0"/>
        <w:spacing w:before="200" w:after="0" w:line="260" w:lineRule="exact"/>
        <w:ind w:left="1080" w:right="0" w:firstLine="0"/>
        <w:jc w:val="both"/>
      </w:pPr>
      <w:r>
        <w:rPr>
          <w:rFonts w:ascii="Times New Roman" w:hAnsi="Times New Roman" w:eastAsia="Times New Roman" w:cs="Times New Roman"/>
          <w:b w:val="0"/>
          <w:sz w:val="24"/>
        </w:rPr>
        <w:t>• Is the vendor holding the debtor's goods and/or refusing to ship such goods or provide services unless the debtor pays the vendor's pre-petition claim?</w:t>
      </w:r>
    </w:p>
    <w:p>
      <w:pPr>
        <w:keepNext w:val="0"/>
        <w:spacing w:before="200" w:after="0" w:line="260" w:lineRule="exact"/>
        <w:ind w:left="1080" w:right="0" w:firstLine="0"/>
        <w:jc w:val="both"/>
      </w:pPr>
      <w:r>
        <w:rPr>
          <w:rFonts w:ascii="Times New Roman" w:hAnsi="Times New Roman" w:eastAsia="Times New Roman" w:cs="Times New Roman"/>
          <w:b w:val="0"/>
          <w:sz w:val="24"/>
        </w:rPr>
        <w:t>• Are there other vendors that can provide the same or similar goods or services on equal or better terms?</w:t>
      </w:r>
    </w:p>
    <w:p>
      <w:pPr>
        <w:keepNext w:val="0"/>
        <w:spacing w:before="200" w:after="0" w:line="260" w:lineRule="exact"/>
        <w:ind w:left="1080" w:right="0" w:firstLine="0"/>
        <w:jc w:val="both"/>
      </w:pPr>
      <w:r>
        <w:rPr>
          <w:rFonts w:ascii="Times New Roman" w:hAnsi="Times New Roman" w:eastAsia="Times New Roman" w:cs="Times New Roman"/>
          <w:b w:val="0"/>
          <w:sz w:val="24"/>
        </w:rPr>
        <w:t>• What is involved in transitioning to such vendors and can such vendors handle the same value as the existing vendor?</w:t>
      </w:r>
    </w:p>
    <w:p>
      <w:pPr>
        <w:keepNext w:val="0"/>
        <w:spacing w:before="200" w:after="0" w:line="260" w:lineRule="exact"/>
        <w:ind w:left="1080" w:right="0" w:firstLine="0"/>
        <w:jc w:val="both"/>
      </w:pPr>
      <w:r>
        <w:rPr>
          <w:rFonts w:ascii="Times New Roman" w:hAnsi="Times New Roman" w:eastAsia="Times New Roman" w:cs="Times New Roman"/>
          <w:b w:val="0"/>
          <w:sz w:val="24"/>
        </w:rPr>
        <w:t>• Would the cost of transitioning to another vendor exceed the pre-petition claim for the existing vendor?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determine if the vendor should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critical vendor, the Company will need to analyze and document these considerations. The Company should start with the general list of vendors (which should include the outstanding amounts owed) that the Company currently has or is compiling in preparation for the bankruptcy filing. The Company should review that list, determine which vendors are critical based on the answers to the above questions (and research regarding transitioning vendors), and provide the information requested below.</w:t>
      </w:r>
    </w:p>
    <w:p>
      <w:pPr>
        <w:keepNext w:val="0"/>
        <w:spacing w:before="120" w:after="0" w:line="260" w:lineRule="exact"/>
        <w:ind w:left="360" w:right="0" w:firstLine="0"/>
        <w:jc w:val="left"/>
      </w:pPr>
      <w:r>
        <w:rPr>
          <w:rFonts w:ascii="Times New Roman" w:hAnsi="Times New Roman" w:eastAsia="Times New Roman" w:cs="Times New Roman"/>
          <w:b/>
          <w:sz w:val="24"/>
        </w:rPr>
        <w:t>Schedule of Pre-Petition Employee Obligations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will need to maintain its workforce to continue operations during the bankruptcy proceeding. Court approval is needed before paying pre-petition amounts owed to the Company's employees. The below information is needed to draft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pay pre-petition employee obligations and to analyze the appropriate timing for the bankruptcy filing (so that, if appropriate, the bankruptcy filing can be scheduled after the Company meets its payroll obligations for the current period).</w:t>
      </w:r>
    </w:p>
    <w:p>
      <w:pPr>
        <w:keepNext w:val="0"/>
        <w:spacing w:before="120" w:after="0" w:line="260" w:lineRule="exact"/>
        <w:ind w:left="360" w:right="0" w:firstLine="0"/>
        <w:jc w:val="left"/>
      </w:pPr>
      <w:r>
        <w:rPr>
          <w:rFonts w:ascii="Times New Roman" w:hAnsi="Times New Roman" w:eastAsia="Times New Roman" w:cs="Times New Roman"/>
          <w:b/>
          <w:sz w:val="24"/>
        </w:rPr>
        <w:t>Schedule of Customer Programs</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may have customer programs such as:</w:t>
      </w:r>
    </w:p>
    <w:p>
      <w:pPr>
        <w:keepNext w:val="0"/>
        <w:spacing w:before="200" w:after="0" w:line="260" w:lineRule="exact"/>
        <w:ind w:left="1080" w:right="0" w:firstLine="0"/>
        <w:jc w:val="both"/>
      </w:pPr>
      <w:r>
        <w:rPr>
          <w:rFonts w:ascii="Times New Roman" w:hAnsi="Times New Roman" w:eastAsia="Times New Roman" w:cs="Times New Roman"/>
          <w:b w:val="0"/>
          <w:sz w:val="24"/>
        </w:rPr>
        <w:t>• Gift cards / gift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Promotional coupons, rebates, and discounts</w:t>
      </w:r>
    </w:p>
    <w:p>
      <w:pPr>
        <w:keepNext w:val="0"/>
        <w:spacing w:before="200" w:after="0" w:line="260" w:lineRule="exact"/>
        <w:ind w:left="1080" w:right="0" w:firstLine="0"/>
        <w:jc w:val="both"/>
      </w:pPr>
      <w:r>
        <w:rPr>
          <w:rFonts w:ascii="Times New Roman" w:hAnsi="Times New Roman" w:eastAsia="Times New Roman" w:cs="Times New Roman"/>
          <w:b w:val="0"/>
          <w:sz w:val="24"/>
        </w:rPr>
        <w:t>• Reward, incentive, loyalty, or points programs</w:t>
      </w:r>
    </w:p>
    <w:p>
      <w:pPr>
        <w:keepNext w:val="0"/>
        <w:spacing w:before="200" w:after="0" w:line="260" w:lineRule="exact"/>
        <w:ind w:left="1080" w:right="0" w:firstLine="0"/>
        <w:jc w:val="both"/>
      </w:pPr>
      <w:r>
        <w:rPr>
          <w:rFonts w:ascii="Times New Roman" w:hAnsi="Times New Roman" w:eastAsia="Times New Roman" w:cs="Times New Roman"/>
          <w:b w:val="0"/>
          <w:sz w:val="24"/>
        </w:rPr>
        <w:t>• Private label credit cards and financing plans</w:t>
      </w:r>
    </w:p>
    <w:p>
      <w:pPr>
        <w:keepNext w:val="0"/>
        <w:spacing w:before="200" w:after="0" w:line="260" w:lineRule="exact"/>
        <w:ind w:left="1080" w:right="0" w:firstLine="0"/>
        <w:jc w:val="both"/>
      </w:pPr>
      <w:r>
        <w:rPr>
          <w:rFonts w:ascii="Times New Roman" w:hAnsi="Times New Roman" w:eastAsia="Times New Roman" w:cs="Times New Roman"/>
          <w:b w:val="0"/>
          <w:sz w:val="24"/>
        </w:rPr>
        <w:t>• Refund, store credit, and exchange programs</w:t>
      </w:r>
    </w:p>
    <w:p>
      <w:pPr>
        <w:keepNext w:val="0"/>
        <w:spacing w:before="200" w:after="0" w:line="260" w:lineRule="exact"/>
        <w:ind w:left="1080" w:right="0" w:firstLine="0"/>
        <w:jc w:val="both"/>
      </w:pPr>
      <w:r>
        <w:rPr>
          <w:rFonts w:ascii="Times New Roman" w:hAnsi="Times New Roman" w:eastAsia="Times New Roman" w:cs="Times New Roman"/>
          <w:b w:val="0"/>
          <w:sz w:val="24"/>
        </w:rPr>
        <w:t>• Deposits and layaway payments</w:t>
      </w:r>
    </w:p>
    <w:p>
      <w:pPr>
        <w:keepNext w:val="0"/>
        <w:spacing w:before="200" w:after="0" w:line="260" w:lineRule="exact"/>
        <w:ind w:left="1080" w:right="0" w:firstLine="0"/>
        <w:jc w:val="both"/>
      </w:pPr>
      <w:r>
        <w:rPr>
          <w:rFonts w:ascii="Times New Roman" w:hAnsi="Times New Roman" w:eastAsia="Times New Roman" w:cs="Times New Roman"/>
          <w:b w:val="0"/>
          <w:sz w:val="24"/>
        </w:rPr>
        <w:t>• Warranty programs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may owe outstanding amounts to consumers under one or more of these customer programs upon filing for bankruptcy protection. The information requested below is needed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continue and honor the pre-petition obligations under the Company's customer programs.</w:t>
      </w:r>
    </w:p>
    <w:p>
      <w:pPr>
        <w:keepNext w:val="0"/>
        <w:spacing w:before="120" w:after="0" w:line="260" w:lineRule="exact"/>
        <w:ind w:left="360" w:right="0" w:firstLine="0"/>
        <w:jc w:val="left"/>
      </w:pPr>
      <w:r>
        <w:rPr>
          <w:rFonts w:ascii="Times New Roman" w:hAnsi="Times New Roman" w:eastAsia="Times New Roman" w:cs="Times New Roman"/>
          <w:b/>
          <w:sz w:val="24"/>
        </w:rPr>
        <w:t>Schedule of Pre-Petition Taxes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Businesses generally incur or collect various taxes, including, without limitation, sales and use taxes, property taxes, employment taxes, franchise taxes and other trust-fund type taxes from their employees, independent contractors, and other third parties. The Company needs to pay tax obligations to continue operations during the bankruptcy proceeding and court approval is needed before paying pre-petition tax obligations. The information requested below is needed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pay pre-petition taxes.</w:t>
      </w:r>
    </w:p>
    <w:p>
      <w:pPr>
        <w:keepNext w:val="0"/>
        <w:spacing w:before="120" w:after="0" w:line="260" w:lineRule="exact"/>
        <w:ind w:left="360" w:right="0" w:firstLine="0"/>
        <w:jc w:val="left"/>
      </w:pPr>
      <w:r>
        <w:rPr>
          <w:rFonts w:ascii="Times New Roman" w:hAnsi="Times New Roman" w:eastAsia="Times New Roman" w:cs="Times New Roman"/>
          <w:b/>
          <w:sz w:val="24"/>
        </w:rPr>
        <w:t>Schedule of Insurance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must ensure that its property is adequately insured and that the Company complies with laws and regulations governing insurance coverage. The Company may owe pre-petition amounts that must be paid to maintain coverage. Court approval is needed before paying pre-petition amounts owed to maintain coverage, including premiums, insurance broker's fees, and third-party administrator fees. The information requested below is needed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maintain insurance.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