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Utilities Stipulation and Order of Adequate Assurance</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UNITED STATES BANKRUPTCY COURT </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200" w:after="0" w:line="260" w:lineRule="exact"/>
        <w:ind w:left="720" w:right="0" w:firstLine="0"/>
        <w:jc w:val="center"/>
      </w:pPr>
      <w:r>
        <w:rPr>
          <w:rFonts w:ascii="Times New Roman" w:hAnsi="Times New Roman" w:eastAsia="Times New Roman" w:cs="Times New Roman"/>
          <w:b/>
          <w:sz w:val="24"/>
        </w:rPr>
        <w:t>Stipulation for Provision of Adequate Assurance of Payment of Utility Service Provider</w:t>
      </w:r>
    </w:p>
    <w:p>
      <w:pPr>
        <w:keepNext w:val="0"/>
        <w:spacing w:before="200" w:after="0" w:line="260" w:lineRule="exact"/>
        <w:ind w:left="1080" w:right="0" w:firstLine="0"/>
        <w:jc w:val="both"/>
      </w:pPr>
      <w:r>
        <w:rPr>
          <w:rFonts w:ascii="Times New Roman" w:hAnsi="Times New Roman" w:eastAsia="Times New Roman" w:cs="Times New Roman"/>
          <w:b w:val="0"/>
          <w:sz w:val="24"/>
        </w:rPr>
        <w:t>[Name of debtor in possession] (the "</w:t>
      </w:r>
      <w:r>
        <w:rPr>
          <w:rFonts w:ascii="Times New Roman" w:hAnsi="Times New Roman" w:eastAsia="Times New Roman" w:cs="Times New Roman"/>
          <w:b w:val="0"/>
          <w:sz w:val="24"/>
        </w:rPr>
        <w:t>Debtor</w:t>
      </w:r>
      <w:r>
        <w:rPr>
          <w:rFonts w:ascii="Times New Roman" w:hAnsi="Times New Roman" w:eastAsia="Times New Roman" w:cs="Times New Roman"/>
          <w:b w:val="0"/>
          <w:sz w:val="24"/>
        </w:rPr>
        <w:t>"), and [name of utility provider] ("</w:t>
      </w:r>
      <w:r>
        <w:rPr>
          <w:rFonts w:ascii="Times New Roman" w:hAnsi="Times New Roman" w:eastAsia="Times New Roman" w:cs="Times New Roman"/>
          <w:b w:val="0"/>
          <w:sz w:val="24"/>
        </w:rPr>
        <w:t>Utility</w:t>
      </w:r>
      <w:r>
        <w:rPr>
          <w:rFonts w:ascii="Times New Roman" w:hAnsi="Times New Roman" w:eastAsia="Times New Roman" w:cs="Times New Roman"/>
          <w:b w:val="0"/>
          <w:sz w:val="24"/>
        </w:rPr>
        <w:t>") stipulate and agree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Debtor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chapter 11 petition on [date]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xml:space="preserve">"), commencing the above-captioned reorganization case. The Debtor continues to manage and operate its business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in possession.</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Utility provides electric utility service to the Debtor pursuant to numerous customer accounts serving numerous locations. Attached hereto as Exhibit 1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listing of the current service accounts and the corresponding locations currently operated by the Debtor. The Debtor anticipates closing additional accounts in the near future. This anticipated closing information supplied by the Debtor, including the Debtor's projected date for termination of Utility's utility service provided to the Debtor with respect to each pertinent location, is also included in Exhibit 1 hereto.</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Debtor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to determine adequate assurance of payment of utilities pursuant to 11 U.S.C. § 366 (the "</w:t>
      </w:r>
      <w:r>
        <w:rPr>
          <w:rFonts w:ascii="Times New Roman" w:hAnsi="Times New Roman" w:eastAsia="Times New Roman" w:cs="Times New Roman"/>
          <w:b w:val="0"/>
          <w:sz w:val="24"/>
        </w:rPr>
        <w:t>Motion</w:t>
      </w:r>
      <w:r>
        <w:rPr>
          <w:rFonts w:ascii="Times New Roman" w:hAnsi="Times New Roman" w:eastAsia="Times New Roman" w:cs="Times New Roman"/>
          <w:b w:val="0"/>
          <w:sz w:val="24"/>
        </w:rPr>
        <w:t xml:space="preserve">") in its chapter 11 case on [date]. Thereafter, Utility filed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opposition (the "</w:t>
      </w:r>
      <w:r>
        <w:rPr>
          <w:rFonts w:ascii="Times New Roman" w:hAnsi="Times New Roman" w:eastAsia="Times New Roman" w:cs="Times New Roman"/>
          <w:b w:val="0"/>
          <w:sz w:val="24"/>
        </w:rPr>
        <w:t>Opposition</w:t>
      </w:r>
      <w:r>
        <w:rPr>
          <w:rFonts w:ascii="Times New Roman" w:hAnsi="Times New Roman" w:eastAsia="Times New Roman" w:cs="Times New Roman"/>
          <w:b w:val="0"/>
          <w:sz w:val="24"/>
        </w:rPr>
        <w:t xml:space="preserve">") to the Motion. In the Opposition, Utility requested that the Court require the Debtor to post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security deposit with Utility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 in excess of [amount] as adequate assurance for the provision of postpetition electric service. In the Motion and the Debtor's response to the Opposition, the Debtor requested that the Court not require the Debtor to post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deposit and suggested other safeguards that the Debtor contended would provide Utility with adequate assurance of payment. The Motion and the Opposition came 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continued hearing before the Bankruptcy Court on [date].</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order to resolve their disputes with respect to the Motion and the Opposition, the Debtor and Utility have agreed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Debtor shall transfer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[amount] deposit (the "</w:t>
      </w:r>
      <w:r>
        <w:rPr>
          <w:rFonts w:ascii="Times New Roman" w:hAnsi="Times New Roman" w:eastAsia="Times New Roman" w:cs="Times New Roman"/>
          <w:b w:val="0"/>
          <w:sz w:val="24"/>
        </w:rPr>
        <w:t>Deposit</w:t>
      </w:r>
      <w:r>
        <w:rPr>
          <w:rFonts w:ascii="Times New Roman" w:hAnsi="Times New Roman" w:eastAsia="Times New Roman" w:cs="Times New Roman"/>
          <w:b w:val="0"/>
          <w:sz w:val="24"/>
        </w:rPr>
        <w:t xml:space="preserve">") to Utility by no later than [date]. Interest compounded monthly shall accrue on the Deposit for the benefit of the Debtor at the rate of 1/12th of the interest rate on Commercial Paper (prime, 3 months), published the prior month in the Federal Reserve Statistical Release, G. 13. Should publication of the interest rate on Commercial Paper (prime, 3 months) be discontinued, interest will so accrue at the rate of 1/12th of the interest rate on Commercial Paper, which most closely approximates the discontinued rate, and which is published the prior month in the Federal Reserve Statistical Release, G. 13, or its successor publication. Applicable interest commences on the date the Deposit is received and earned interest will be paid at the time the Deposit is applied to the Debtor's account or refunded. The Deposit, including all interest earned thereon, shall be returned by Utility to the Debtor, if the Debtor is not in default under its postpetition obligations to Utility, at the earliest possible time allowed pursuant to Utility's Tariff requirements, and by (i) no later than one year from the date of the Deposit if the Debtor has paid its bills due to Utility during the period that the Deposit has been held before such bills became past due, or (ii)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earlier date as provided in Utility's Tariff Rules. However, Utility shall not be required to return the Deposit prior to confirmation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reorganization in the Debtor's case.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Beginning with the week of [date], the Debtor shall make weekly payments to Utility in the initial sum of [amount] per week. This sum is based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estimate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weekly allocation of the Debtor's average monthly prepetition obligations to Utility. At the beginning of each month, commencing with [date], the amount of the weekly payments shall be adjusted if the average weekly allocation for the month prior to the pertinent month is greater than or less than the existing weekly payment requirement. For example, with respect to [date], if the average weekly allocation for the Debtor's total obligations to Utility for the month of [month], amount to less than [amount] per week, the [next month] weekly payment amount shall be adjusted down to the amount that constitutes the average weekly allocation for the subject prior month.</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By no later than the 15th day of each month, Utility shall provide the Debtor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reconciliation statement reflecting the amount paid by the Debtor for the prior month, and the amount charged by Utility for utility services provided to the Debtor for that month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account-by-account basis, identifying each account and the location to which each account relates, and allocating the payments made by the Debtor during the prior month to each account. To the extent that the Debtor has paid Utility more than the sum charged for the prior month, the excess payment shall be applied by Utility against the Debtor's obligations for the current month (and to the extent that excess payments exist for that month, the excess payment shall be applied to the next month where there are no excess payments), and Utility shall allocate the excess payments to the Debtor's accounts.</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 Debtor is not in default of its postpetition obligations to Utility, the requirement that the Debtor pay Utility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weekly basis shall terminate 10 days following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confirming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reorganization in the Debtor's chapter 11 case. Further, at such time, Utility shall provide service and the reorganized Debtor shall pay for service in accordance with Utility's ordinary Tariff Rules and the provisions of paragraph </w:t>
      </w:r>
      <w:r>
        <w:rPr>
          <w:rFonts w:ascii="Times New Roman" w:hAnsi="Times New Roman" w:eastAsia="Times New Roman" w:cs="Times New Roman"/>
          <w:b w:val="0"/>
          <w:sz w:val="24"/>
        </w:rPr>
        <w:t>4.</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below shall no longer apply and the notice provisions in paragraph </w:t>
      </w:r>
      <w:r>
        <w:rPr>
          <w:rFonts w:ascii="Times New Roman" w:hAnsi="Times New Roman" w:eastAsia="Times New Roman" w:cs="Times New Roman"/>
          <w:b w:val="0"/>
          <w:sz w:val="24"/>
        </w:rPr>
        <w:t>4.</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below may be modified pursuant to notification between the parties.</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Debtor shall timely pay Utility pursuant to the terms of this Stipulation. Such payment shall be made by check. Payments by check are to be sent to the Utility representative at the address set forth below. The contact persons for Utility and for the Debtor, respectively, with respect to any issues regarding payment, including without limitation, the timing of payment, amount of payment, confirmation of receipt of payment, any unpaid amounts outstanding, shall be:</w:t>
      </w:r>
    </w:p>
    <w:p>
      <w:pPr>
        <w:keepNext w:val="0"/>
        <w:spacing w:before="200" w:after="0" w:line="260" w:lineRule="exact"/>
        <w:ind w:left="2160" w:right="0" w:firstLine="0"/>
        <w:jc w:val="both"/>
      </w:pPr>
      <w:r>
        <w:rPr>
          <w:rFonts w:ascii="Times New Roman" w:hAnsi="Times New Roman" w:eastAsia="Times New Roman" w:cs="Times New Roman"/>
          <w:b/>
          <w:sz w:val="24"/>
        </w:rPr>
        <w:t>UTILITY</w:t>
      </w:r>
    </w:p>
    <w:p>
      <w:pPr>
        <w:keepNext w:val="0"/>
        <w:spacing w:before="200" w:after="0" w:line="260" w:lineRule="exact"/>
        <w:ind w:left="2160" w:right="0" w:firstLine="0"/>
        <w:jc w:val="both"/>
      </w:pPr>
      <w:r>
        <w:rPr>
          <w:rFonts w:ascii="Times New Roman" w:hAnsi="Times New Roman" w:eastAsia="Times New Roman" w:cs="Times New Roman"/>
          <w:b w:val="0"/>
          <w:sz w:val="24"/>
        </w:rPr>
        <w:t>[Name, Address, Telephone, Fax, and E-Mail Information]</w:t>
      </w:r>
    </w:p>
    <w:p>
      <w:pPr>
        <w:keepNext w:val="0"/>
        <w:spacing w:before="200" w:after="0" w:line="260" w:lineRule="exact"/>
        <w:ind w:left="2160" w:right="0" w:firstLine="0"/>
        <w:jc w:val="both"/>
      </w:pPr>
      <w:r>
        <w:rPr>
          <w:rFonts w:ascii="Times New Roman" w:hAnsi="Times New Roman" w:eastAsia="Times New Roman" w:cs="Times New Roman"/>
          <w:b/>
          <w:sz w:val="24"/>
        </w:rPr>
        <w:t>DEBTOR:</w:t>
      </w:r>
    </w:p>
    <w:p>
      <w:pPr>
        <w:keepNext w:val="0"/>
        <w:spacing w:before="200" w:after="0" w:line="260" w:lineRule="exact"/>
        <w:ind w:left="2160" w:right="0" w:firstLine="0"/>
        <w:jc w:val="both"/>
      </w:pPr>
      <w:r>
        <w:rPr>
          <w:rFonts w:ascii="Times New Roman" w:hAnsi="Times New Roman" w:eastAsia="Times New Roman" w:cs="Times New Roman"/>
          <w:b w:val="0"/>
          <w:sz w:val="24"/>
        </w:rPr>
        <w:t>[Name, Address, Telephone, Fax, and E-Mail Information]</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event that the Debtor fails to timely pay Utility for postpetition utility service pursuant to the terms of this Stipulation, the Debtor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 (10) day period to cure such nonpayment, which ten (10) day period shall begin to run automatically from the date of the Debtor's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nonpayment notice from Utility. The nonpayment notice must be delivered to the representative of the Debtor designated above. The ten (10) day period cannot be extended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further default during the period. Should the Debtor fail to cure any default within the ten (10) day time period after receipt (by the Debtor and its bankruptcy counsel) of notice of default, Utility shall be entitled to alter, refuse or discontinue service, without further Court order.</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extent that Utility provides postpetition services that are unpaid, Utility shall be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administrative claim, after application of the Deposit, including all interest earned thereon, pursuant to 11 U.S.C. § </w:t>
      </w:r>
      <w:r>
        <w:rPr>
          <w:rFonts w:ascii="Times New Roman" w:hAnsi="Times New Roman" w:eastAsia="Times New Roman" w:cs="Times New Roman"/>
          <w:b w:val="0"/>
          <w:sz w:val="24"/>
        </w:rPr>
        <w:t>503(b)(1)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507(</w:t>
      </w:r>
      <w:r>
        <w:rPr>
          <w:rFonts w:ascii="Times New Roman" w:hAnsi="Times New Roman" w:eastAsia="Times New Roman" w:cs="Times New Roman"/>
          <w:b/>
          <w:sz w:val="24"/>
        </w:rPr>
        <w:t>a</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payable upon confirmation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reorganization or such earlier date as determined by the Court. Further, in the event that the amount of the Deposit, including all interest earned thereon, exceeds the amount of any such administrative claim held by Utility and to the extent that the Debtor is no longer provided with service by Utility, Utility shall return the balance of the Deposit, including interest thereon, to the Debtor.</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Stipulation does not preclude Utility and/or the Debtor from seeking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of the Court requesting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modification of the adequate assurance provisions set forth herein, after notice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pursuant to 11 U.S.C. § </w:t>
      </w:r>
      <w:r>
        <w:rPr>
          <w:rFonts w:ascii="Times New Roman" w:hAnsi="Times New Roman" w:eastAsia="Times New Roman" w:cs="Times New Roman"/>
          <w:b w:val="0"/>
          <w:sz w:val="24"/>
        </w:rPr>
        <w:t>366</w:t>
      </w:r>
      <w:r>
        <w:rPr>
          <w:rFonts w:ascii="Times New Roman" w:hAnsi="Times New Roman" w:eastAsia="Times New Roman" w:cs="Times New Roman"/>
          <w:b w:val="0"/>
          <w:sz w:val="24"/>
        </w:rPr>
        <w:t>. Moreover, Utility and the Debtor may stipulate to such modifications and present any such stipulation to the Court for approval without the need for further notice or hearing.</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Utility shall be prohibited from unilaterally altering, refusing or discontinuing utility services to the Debtor so long as the Debtor is in compliance with this Stipulation, subject to possible subsequent modification by the Court after notice and hearing or upon stipulation between Utility and the Debtor.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[Name of counsel for debtor in possession]</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Attorney]</w:t>
      </w:r>
    </w:p>
    <w:p>
      <w:pPr>
        <w:keepNext w:val="0"/>
        <w:spacing w:before="120" w:after="0" w:line="260" w:lineRule="exact"/>
        <w:ind w:left="360" w:right="0" w:firstLine="0"/>
        <w:jc w:val="left"/>
      </w:pPr>
      <w:r>
        <w:rPr>
          <w:rFonts w:ascii="Times New Roman" w:hAnsi="Times New Roman" w:eastAsia="Times New Roman" w:cs="Times New Roman"/>
          <w:b w:val="0"/>
          <w:sz w:val="24"/>
        </w:rPr>
        <w:t>Counsel for [name of debtor in possession],</w:t>
      </w:r>
    </w:p>
    <w:p>
      <w:pPr>
        <w:keepNext w:val="0"/>
        <w:spacing w:before="120" w:after="0" w:line="260" w:lineRule="exact"/>
        <w:ind w:left="360" w:right="0" w:firstLine="0"/>
        <w:jc w:val="left"/>
      </w:pPr>
      <w:r>
        <w:rPr>
          <w:rFonts w:ascii="Times New Roman" w:hAnsi="Times New Roman" w:eastAsia="Times New Roman" w:cs="Times New Roman"/>
          <w:b w:val="0"/>
          <w:sz w:val="24"/>
        </w:rPr>
        <w:t>Debtor in Possession</w:t>
      </w:r>
    </w:p>
    <w:p>
      <w:pPr>
        <w:keepNext w:val="0"/>
        <w:spacing w:before="120" w:after="0" w:line="260" w:lineRule="exact"/>
        <w:ind w:left="360" w:right="0" w:firstLine="0"/>
        <w:jc w:val="left"/>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[Name of utility]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utility counsel]</w:t>
      </w:r>
    </w:p>
    <w:p>
      <w:pPr>
        <w:keepNext w:val="0"/>
        <w:spacing w:before="200" w:after="0" w:line="260" w:lineRule="exact"/>
        <w:ind w:left="360" w:right="0" w:firstLine="0"/>
        <w:jc w:val="both"/>
      </w:pPr>
      <w:r>
        <w:rPr>
          <w:rFonts w:ascii="Times New Roman" w:hAnsi="Times New Roman" w:eastAsia="Times New Roman" w:cs="Times New Roman"/>
          <w:b/>
          <w:sz w:val="24"/>
        </w:rPr>
        <w:t>ORDER</w:t>
      </w:r>
    </w:p>
    <w:p>
      <w:pPr>
        <w:keepNext w:val="0"/>
        <w:spacing w:before="200" w:after="0" w:line="260" w:lineRule="exact"/>
        <w:ind w:left="360" w:right="0" w:firstLine="0"/>
        <w:jc w:val="both"/>
      </w:pPr>
      <w:r>
        <w:rPr>
          <w:rFonts w:ascii="Times New Roman" w:hAnsi="Times New Roman" w:eastAsia="Times New Roman" w:cs="Times New Roman"/>
          <w:b w:val="0"/>
          <w:sz w:val="24"/>
        </w:rPr>
        <w:t>Based on the foregoing, and good cause appearing therefor,</w:t>
      </w:r>
    </w:p>
    <w:p>
      <w:pPr>
        <w:keepNext w:val="0"/>
        <w:spacing w:before="200" w:after="0" w:line="260" w:lineRule="exact"/>
        <w:ind w:left="360" w:right="0" w:firstLine="0"/>
        <w:jc w:val="both"/>
      </w:pPr>
      <w:r>
        <w:rPr>
          <w:rFonts w:ascii="Times New Roman" w:hAnsi="Times New Roman" w:eastAsia="Times New Roman" w:cs="Times New Roman"/>
          <w:b/>
          <w:sz w:val="24"/>
        </w:rPr>
        <w:t>IT IS ORDERED</w:t>
      </w:r>
      <w:r>
        <w:rPr>
          <w:rFonts w:ascii="Times New Roman" w:hAnsi="Times New Roman" w:eastAsia="Times New Roman" w:cs="Times New Roman"/>
          <w:b w:val="0"/>
          <w:sz w:val="24"/>
        </w:rPr>
        <w:t xml:space="preserve"> that the above-stated Stipulation is hereby approved.</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Judge]</w:t>
      </w:r>
    </w:p>
    <w:p>
      <w:pPr>
        <w:keepNext w:val="0"/>
        <w:spacing w:before="120" w:after="0" w:line="260" w:lineRule="exact"/>
        <w:ind w:left="360" w:right="0" w:firstLine="0"/>
        <w:jc w:val="left"/>
      </w:pPr>
      <w:r>
        <w:rPr>
          <w:rFonts w:ascii="Times New Roman" w:hAnsi="Times New Roman" w:eastAsia="Times New Roman" w:cs="Times New Roman"/>
          <w:b w:val="0"/>
          <w:sz w:val="24"/>
        </w:rPr>
        <w:t>United States Bankruptcy Judge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