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VIRGINIA</w:t>
      </w:r>
    </w:p>
    <w:p>
      <w:pPr>
        <w:jc w:val="center"/>
      </w:pPr>
      <w:r>
        <w:rPr>
          <w:rFonts w:ascii="Times New Roman" w:hAnsi="Times New Roman" w:eastAsia="Times New Roman" w:cs="Times New Roman"/>
          <w:b/>
          <w:sz w:val="24"/>
        </w:rPr>
        <w:t>SUBCONTRACTOR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Virginia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This Agreement shall be governed under the laws in the State of Virginia.</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p>
    <w:p>
      <w:pPr>
        <w:spacing w:before="0" w:after="0"/>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