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Voluntary Petition (Official Form 201)</w:t>
      </w:r>
    </w:p>
    <w:p>
      <w:pPr>
        <w:keepNext w:val="0"/>
        <w:spacing w:after="0" w:line="240" w:lineRule="exact"/>
        <w:ind w:right="0"/>
        <w:jc w:val="both"/>
      </w:pPr>
    </w:p>
    <w:p>
      <w:pPr>
        <w:keepNext w:val="0"/>
        <w:spacing w:before="200" w:after="0" w:line="260" w:lineRule="exact"/>
        <w:ind w:left="0" w:right="0" w:firstLine="0"/>
        <w:jc w:val="both"/>
      </w:pPr>
      <w:r>
        <w:rPr>
          <w:rFonts w:ascii="Times New Roman" w:hAnsi="Times New Roman" w:eastAsia="Times New Roman" w:cs="Times New Roman"/>
          <w:b w:val="0"/>
          <w:sz w:val="24"/>
        </w:rPr>
        <w:t xml:space="preserve">Voluntary Petition (Official Form 201) must be completed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prospective non-individual debtor in order to initiate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bankruptcy case under Chapter 11 of the Bankruptcy Code. See Voluntary Petition (Official Form 201). The completed petition should be filed with the bankruptcy court in the appropriate jurisdiction. The petition provides the court with basic information about the debtor and its bankruptcy case. Upon completing and filing Official Form 201, the debtor automatically assumes the identity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“debtor-in-possession,” which signifies that the debtor retains possession and control of its assets while reorganizing. The debtor will continue to be identified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debtor-in-possession until the case is dismissed or converted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Chapter 7 case, or until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Chapter 11 trustee is appointed to run the debtor’s business.</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Official Form 201 requires the prospective debtor to supply information including, among other things: (i) the debtor’s name; (ii) the debtor’s social security or tax identification number; (iii) the location of principal assets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business); (iv) statistical and administrative information regarding the debtor’s finances and the nature of its debts; and (v) disclosure of all prior bankruptcy cases filed within the last eight years. In addition to this petition, when filing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bankruptcy case, counsel will often be called upon to prepare: (i)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schedule of assets and liabilities; (ii)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schedule of current income and expenses; (iii)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matrix of creditors; (iv)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schedule of executory contracts and unexpired leases; and (v)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of financial affairs. Although most Chapter 11 filings are initiated during times of crisis, counsel should plan to gather all relevant information and complete the required schedules as soon as possible.</w:t>
      </w:r>
    </w:p>
    <w:p>
      <w:pPr>
        <w:keepNext w:val="0"/>
        <w:spacing w:before="200" w:after="0" w:line="260" w:lineRule="exact"/>
        <w:ind w:left="0" w:right="0" w:firstLine="0"/>
        <w:jc w:val="both"/>
      </w:pP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debtor must complete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different Voluntary Petition (Official Form 101) to initiate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bankruptcy case under Chapter 11 of the Bankruptcy Code. See Voluntary Petition (Official Form 101). Counsel should note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cannot file under Chapter 11 or any other Chapter if, during the preceding 180 days,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prior bankruptcy petition: (i) was dismissed due to the debtor’s willful failure to appear before the court or comply with orders of the court; or (ii) was voluntarily dismissed after creditors sought relief from the bankruptcy court to recover property upon which they hold liens. In addition, no individual may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debtor under Chapter 11 or any other chapter unless he or she has, within 180 days before filing, received credit counseling from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approved credit counseling agency. There are exceptions such as, for example, in emergency situations or where the U.S. Trustee has determined that there are insufficient approved agencies to provide the required counseling. In addition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from the credit counseling agency,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debt management plan is developed during the required counseling, it must be filed with the bankruptcy court.</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Upon filing the petition, the prospective Chapter 11 debtor must pay the clerk of the court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$1,738 case filing fee. With the court’s permission, the fees may be paid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maximum of four installments. Counsel should be aware that failure to pay the required fees may result in dismissal of the Chapter 11 case. In addition to the filing fee, the debtor must pay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quarterly fee based on its revenues. The obligation to pay quarterly fees begins on the day the case is filed and ceases when the case is no longer pending in Chapter 11.</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Although there are many other documents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bankruptcy case that will be substantially longer and more complex, the importance of the petition form should not be overlooked. It is critical that counsel spend time completely and accurately filling out the petition and related schedules. Failure to do so can result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incomplete filing and ultimate denial of the petition.</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For information on additional required documents, see Preparing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Bankruptcy Filing Checklist. For information and resources on the chapters available for filing bankruptcy, see Bankruptcy Practice Fundamentals Resource Kit.</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