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Primary elections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[employer’s name]’s (the Company) consent,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eligible to vote in any primary election may take up to two hours of unpaid leave to vote in the election. The Company may specify the hours during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utilize this leave time. Employees should provide reasonable advance notice of their need for this leave time.</w:t>
      </w:r>
    </w:p>
    <w:p>
      <w:pPr>
        <w:keepNext w:val="0"/>
        <w:spacing w:before="120" w:after="0" w:line="260" w:lineRule="exact"/>
        <w:ind w:left="360" w:right="0" w:firstLine="0"/>
        <w:jc w:val="left"/>
      </w:pPr>
      <w:r>
        <w:rPr>
          <w:rFonts w:ascii="Times New Roman" w:hAnsi="Times New Roman" w:eastAsia="Times New Roman" w:cs="Times New Roman"/>
          <w:b/>
          <w:sz w:val="24"/>
        </w:rPr>
        <w:t>Other elections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eligible to vote in any general or special election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at which propositions are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popular vote, may take up to two hours of paid leave to vote while the polls are open if his or her work day begins less than two hours after the polls open or ends less than two hours after the polls close. The Company may specify the hours during which the employee may utilize this leave time.</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request this voting leave time at least one day in advance of the employee’s need for leave time.</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Voting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