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Washington D.C.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sz w:val="24"/>
        </w:rPr>
        <w:t xml:space="preserve">The property identified herein </w:t>
      </w:r>
      <w:r>
        <w:rPr>
          <w:rFonts w:ascii="Times New Roman" w:hAnsi="Times New Roman" w:eastAsia="Times New Roman" w:cs="Times New Roman"/>
          <w:sz w:val="24"/>
        </w:rPr>
        <w:t xml:space="preserve"> is </w:t>
      </w:r>
      <w:r>
        <w:rPr>
          <w:rFonts w:ascii="Times New Roman" w:hAnsi="Times New Roman" w:eastAsia="Times New Roman" w:cs="Times New Roman"/>
          <w:b/>
          <w:sz w:val="24"/>
        </w:rPr>
        <w:t>-OR-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is not registered as the homestead of the Grantor(s).</w:t>
      </w:r>
    </w:p>
    <w:p>
      <w:pPr/>
    </w:p>
    <w:p>
      <w:pPr>
        <w:jc w:val="both"/>
      </w:pPr>
    </w:p>
    <w:p>
      <w:pPr/>
    </w:p>
    <w:p>
      <w:pPr>
        <w:spacing w:before="0" w:after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Washington D.C.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