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WASHINGTON D.C.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the District of Columbia ("Governing Law") by its Articles of Incorporation or similar registered documents.</w:t>
      </w:r>
    </w:p>
    <w:p>
      <w:pPr/>
    </w:p>
    <w:p>
      <w:pPr/>
      <w:r>
        <w:rPr>
          <w:rFonts w:ascii="Times New Roman" w:hAnsi="Times New Roman" w:eastAsia="Times New Roman" w:cs="Times New Roman"/>
          <w:b/>
          <w:sz w:val="24"/>
        </w:rPr>
        <w:t>II. GOVERNING LAW</w:t>
      </w:r>
      <w:r>
        <w:rPr>
          <w:rFonts w:ascii="Times New Roman" w:hAnsi="Times New Roman" w:eastAsia="Times New Roman" w:cs="Times New Roman"/>
          <w:sz w:val="24"/>
        </w:rPr>
        <w:t>. The Corporation is organized under the relevant laws of the State of Formation (“Statutes”), and except as otherwise provided herein, the Statutes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