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Washington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 Washington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 Washington Limited Liability Company named _______________, LLC by filing the Articles of Organization with the office in the State of Washington on _______________, 20____. The operation of the Company shall be governed by the terms of this Agreement and the applicable laws of the State of Washington relating to the formation, operation and taxation of a LLC, specifically the provisions under Chapter 25.15 of the Revised Code of Washington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Washington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Washington and shall be governed by, construed and enforced in accordance with the laws of the State of Washington.</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jc w:val="both"/>
      </w:pPr>
      <w:r>
        <w:rPr>
          <w:rFonts w:ascii="Times New Roman" w:hAnsi="Times New Roman" w:eastAsia="Times New Roman" w:cs="Times New Roman"/>
          <w:sz w:val="24"/>
        </w:rPr>
        <w:t xml:space="preserve">Managing Member’s Signature: </w:t>
      </w:r>
      <w:r>
        <w:rPr>
          <w:rFonts w:ascii="Times New Roman" w:hAnsi="Times New Roman" w:eastAsia="Times New Roman" w:cs="Times New Roman"/>
          <w:sz w:val="24"/>
        </w:rPr>
        <w:t>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