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Whistleblower Policy </w:t>
      </w:r>
    </w:p>
    <w:p>
      <w:pPr>
        <w:keepNext w:val="0"/>
        <w:spacing w:after="0" w:line="240" w:lineRule="exact"/>
        <w:ind w:right="0"/>
        <w:jc w:val="both"/>
      </w:pPr>
    </w:p>
    <w:p>
      <w:pPr>
        <w:keepNext w:val="0"/>
        <w:spacing w:after="0" w:line="300" w:lineRule="exact"/>
        <w:ind w:left="0" w:right="0" w:firstLine="0"/>
        <w:jc w:val="left"/>
      </w:pPr>
      <w:r>
        <w:rPr>
          <w:rFonts w:ascii="Times New Roman" w:hAnsi="Times New Roman" w:eastAsia="Times New Roman" w:cs="Times New Roman"/>
          <w:b/>
          <w:sz w:val="24"/>
        </w:rPr>
        <w:t>Table of Contents</w:t>
      </w:r>
    </w:p>
    <w:p>
      <w:pPr/>
    </w:p>
    <w:p>
      <w:pPr>
        <w:keepNext w:val="0"/>
        <w:spacing w:before="120" w:after="0" w:line="260" w:lineRule="exact"/>
        <w:ind w:left="360" w:right="0" w:firstLine="0"/>
        <w:jc w:val="left"/>
      </w:pPr>
      <w:r>
        <w:rPr>
          <w:rFonts w:ascii="Times New Roman" w:hAnsi="Times New Roman" w:eastAsia="Times New Roman" w:cs="Times New Roman"/>
          <w:sz w:val="24"/>
        </w:rPr>
        <w:br/>
      </w:r>
      <w:r>
        <w:rPr>
          <w:rFonts w:ascii="Times New Roman" w:hAnsi="Times New Roman" w:eastAsia="Times New Roman" w:cs="Times New Roman"/>
          <w:b/>
          <w:sz w:val="24"/>
        </w:rPr>
        <w:t>WHISTLEBLOWER POLICY</w:t>
      </w:r>
      <w:r>
        <w:rPr>
          <w:rFonts w:ascii="Times New Roman" w:hAnsi="Times New Roman" w:eastAsia="Times New Roman" w:cs="Times New Roman"/>
          <w:sz w:val="24"/>
        </w:rPr>
        <w:br/>
      </w:r>
      <w:r>
        <w:rPr>
          <w:rFonts w:ascii="Times New Roman" w:hAnsi="Times New Roman" w:eastAsia="Times New Roman" w:cs="Times New Roman"/>
          <w:b/>
          <w:sz w:val="24"/>
        </w:rPr>
        <w:t>OF</w:t>
      </w:r>
      <w:r>
        <w:rPr>
          <w:rFonts w:ascii="Times New Roman" w:hAnsi="Times New Roman" w:eastAsia="Times New Roman" w:cs="Times New Roman"/>
          <w:sz w:val="24"/>
        </w:rPr>
        <w:br/>
      </w:r>
      <w:r>
        <w:rPr>
          <w:rFonts w:ascii="Times New Roman" w:hAnsi="Times New Roman" w:eastAsia="Times New Roman" w:cs="Times New Roman"/>
          <w:b/>
          <w:sz w:val="24"/>
        </w:rPr>
        <w:t>[NAME OF NOT-FOR-PROFIT ORGANIZATION]</w:t>
      </w:r>
    </w:p>
    <w:p>
      <w:pPr>
        <w:keepNext w:val="0"/>
        <w:spacing w:before="120" w:after="0" w:line="260" w:lineRule="exact"/>
        <w:ind w:left="720" w:right="0" w:firstLine="0"/>
        <w:jc w:val="left"/>
      </w:pPr>
      <w:r>
        <w:rPr>
          <w:rFonts w:ascii="Times New Roman" w:hAnsi="Times New Roman" w:eastAsia="Times New Roman" w:cs="Times New Roman"/>
          <w:b w:val="0"/>
          <w:sz w:val="24"/>
        </w:rPr>
        <w:t>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Purpose.</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[Name of not-for-profit organization] (the "Company") is committed to high business and ethical standards. In line with this commitment, the Board of Directors of the Company (the "Board") has established the following policies and procedures for the Company.</w:t>
      </w:r>
    </w:p>
    <w:p>
      <w:pPr>
        <w:keepNext w:val="0"/>
        <w:spacing w:before="120" w:after="0" w:line="260" w:lineRule="exact"/>
        <w:ind w:left="720" w:right="0" w:firstLine="0"/>
        <w:jc w:val="left"/>
      </w:pPr>
      <w:r>
        <w:rPr>
          <w:rFonts w:ascii="Times New Roman" w:hAnsi="Times New Roman" w:eastAsia="Times New Roman" w:cs="Times New Roman"/>
          <w:b w:val="0"/>
          <w:sz w:val="24"/>
        </w:rPr>
        <w:t>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Application.</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This policy applies to all of the Company's employees, volunteers, contractors, officers, and Board members.</w:t>
      </w:r>
    </w:p>
    <w:p>
      <w:pPr>
        <w:keepNext w:val="0"/>
        <w:spacing w:before="120" w:after="0" w:line="260" w:lineRule="exact"/>
        <w:ind w:left="720" w:right="0" w:firstLine="0"/>
        <w:jc w:val="left"/>
      </w:pPr>
      <w:r>
        <w:rPr>
          <w:rFonts w:ascii="Times New Roman" w:hAnsi="Times New Roman" w:eastAsia="Times New Roman" w:cs="Times New Roman"/>
          <w:b w:val="0"/>
          <w:sz w:val="24"/>
        </w:rPr>
        <w:t>3.</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Reporting Requirement.</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Everyone should report information relating to illegal practices or violations of Company policies. Anyone providing such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report must be acting in good faith and have reasonable cause to believe the information being reported is credible. Information shall be reported to the [title of designated person] (the "Designated Officer"), unless the report relates to the Designated Officer himself or herself, in which case the report shall be made directly to the Board. The report shall include sufficient detail to permit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proper assessment and, if possible, should include any corroborating evidence.</w:t>
      </w:r>
    </w:p>
    <w:p>
      <w:pPr>
        <w:keepNext w:val="0"/>
        <w:spacing w:before="120" w:after="0" w:line="260" w:lineRule="exact"/>
        <w:ind w:left="720" w:right="0" w:firstLine="0"/>
        <w:jc w:val="left"/>
      </w:pPr>
      <w:r>
        <w:rPr>
          <w:rFonts w:ascii="Times New Roman" w:hAnsi="Times New Roman" w:eastAsia="Times New Roman" w:cs="Times New Roman"/>
          <w:b w:val="0"/>
          <w:sz w:val="24"/>
        </w:rPr>
        <w:t>4.</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Investigation Procedures.</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The Designated Officer (or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member of the Board, in the case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report about the Designated Officer) shall first make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determination as to whether, in the Designated Officer's reasonable judgement,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reasonable basis exists for commencing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investigation. If the Designated Officer believes that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investigation should be made, the Designated Officer shall notify the Board. The Board will then determine, in its reasonable judgement, whether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investigation should be commenced. If the Board determines that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investigation should occur, the Board will notify the Designated Officer and the Designated Officer shall proceed with the investigation. Outside legal, accounting, or other expertise may be retained as necessary to assist in conducting the investigation. The Designated Officer shall maintain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written record of all complaints, investigations, and resolutions thereof, and shall regularly make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report to the Board of the same.</w:t>
      </w:r>
    </w:p>
    <w:p>
      <w:pPr>
        <w:keepNext w:val="0"/>
        <w:spacing w:before="120" w:after="0" w:line="260" w:lineRule="exact"/>
        <w:ind w:left="720" w:right="0" w:firstLine="0"/>
        <w:jc w:val="left"/>
      </w:pPr>
      <w:r>
        <w:rPr>
          <w:rFonts w:ascii="Times New Roman" w:hAnsi="Times New Roman" w:eastAsia="Times New Roman" w:cs="Times New Roman"/>
          <w:b w:val="0"/>
          <w:sz w:val="24"/>
        </w:rPr>
        <w:t>5.</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Corrective Action.</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The Board, with input from the Designated Officer and any appropriate members of Company management, shall determine the validity of any complaints and any corrective actions to be taken. Anyone found to have knowingly materially violated any laws, regulations, or Company policies will be subject to disciplinary action, up to and including termination.</w:t>
      </w:r>
    </w:p>
    <w:p>
      <w:pPr>
        <w:keepNext w:val="0"/>
        <w:spacing w:before="120" w:after="0" w:line="260" w:lineRule="exact"/>
        <w:ind w:left="720" w:right="0" w:firstLine="0"/>
        <w:jc w:val="left"/>
      </w:pPr>
      <w:r>
        <w:rPr>
          <w:rFonts w:ascii="Times New Roman" w:hAnsi="Times New Roman" w:eastAsia="Times New Roman" w:cs="Times New Roman"/>
          <w:b w:val="0"/>
          <w:sz w:val="24"/>
        </w:rPr>
        <w:t>6.</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Confidentiality.</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The Designated Officer and the Board shall endeavor to protect the confidentiality of all persons bringing credible information under this policy. Reports of concerns and investigations pertaining thereto shall be kept confidential to the extent possible, consistent with the need to conduct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adequate investigation.</w:t>
      </w:r>
    </w:p>
    <w:p>
      <w:pPr>
        <w:keepNext w:val="0"/>
        <w:spacing w:before="120" w:after="0" w:line="260" w:lineRule="exact"/>
        <w:ind w:left="720" w:right="0" w:firstLine="0"/>
        <w:jc w:val="left"/>
      </w:pPr>
      <w:r>
        <w:rPr>
          <w:rFonts w:ascii="Times New Roman" w:hAnsi="Times New Roman" w:eastAsia="Times New Roman" w:cs="Times New Roman"/>
          <w:b w:val="0"/>
          <w:sz w:val="24"/>
        </w:rPr>
        <w:t>7.</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Protection from Retaliation.</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No one will be subject to retaliation, intimidation, harassment, or other adverse action for reporting information in accordance with this policy. Anyone who retaliates against another person who has either reported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violation in good faith or who, in good faith, cooperated with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investigation under this policy will be subject to discipline, up to and including termination. Anyone who is retaliated against in any form should immediately report the retaliation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violation of this policy.</w:t>
      </w:r>
    </w:p>
    <w:p>
      <w:pPr>
        <w:keepNext w:val="0"/>
        <w:spacing w:before="120" w:after="0" w:line="260" w:lineRule="exact"/>
        <w:ind w:left="720" w:right="0" w:firstLine="0"/>
        <w:jc w:val="left"/>
      </w:pPr>
      <w:r>
        <w:rPr>
          <w:rFonts w:ascii="Times New Roman" w:hAnsi="Times New Roman" w:eastAsia="Times New Roman" w:cs="Times New Roman"/>
          <w:b w:val="0"/>
          <w:sz w:val="24"/>
        </w:rPr>
        <w:t>8.</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Implementation of this Policy.</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This policy shall be provided to all employees, volunteers, contractors, officers, and Board members of the Company. This policy was approved by the Board on [date].</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