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Provisions Outline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order of provisions in wills to be used for estate planning clients should be standardized as appropriate to each estate plan. The following general outline can be used for each new Will being drafted on behalf of clients.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Opening Paragraph—Declaration of Intent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to revoke prior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Definition of Family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Tangible Personal Property Disposition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Specific Bequests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Residuary Clauses, including successive Articles for any testamentary trusts (credit shelter, marital, GST or special needs as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Residuary Clause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Marital Trust, if any (GST Exempt, then GST Non-exempt, if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Credit Shelter Trust (GST Exempt, then GST Non-exempt, if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 Needs Trust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Contingent Trust for Minors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in Income</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Priority of Discretionary Distributions, including short form special needs provision if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Exercise of Powers of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Disclaimer</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Spendthrift Provisions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Death (and Other) Taxes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Spousal Survival</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Executors and Trustees (Appointment of Fiduciaries)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Custodian</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Guardian of Minors</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Waiver of Bond</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Fiduciary Powers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Business Powers (for business owners)</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Special Provisions for S Corporation Stock (applicable owners)</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Provisions (cutback on fiduciary powers, etc.)</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Definitions</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Clauses as needed (e.g., In Terrorem, Reason for No Gift)</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Signature Blocks</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Acknowledgment and Affidavit—Forms for both Executor and Attorney</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Memorandum (Tangible Personal Property)</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provisions may or may not be included in each new Will to be drafted. However, the order should be followed except upon specific instruction.</w:t>
      </w:r>
    </w:p>
    <w:p>
      <w:pPr>
        <w:keepNext w:val="0"/>
        <w:spacing w:before="200" w:after="0" w:line="260" w:lineRule="exact"/>
        <w:ind w:left="360" w:right="0" w:firstLine="0"/>
        <w:jc w:val="both"/>
      </w:pPr>
      <w:r>
        <w:rPr>
          <w:rFonts w:ascii="Times New Roman" w:hAnsi="Times New Roman" w:eastAsia="Times New Roman" w:cs="Times New Roman"/>
          <w:b w:val="0"/>
          <w:sz w:val="24"/>
        </w:rPr>
        <w:t>It is also important that the Will be internally consistent in its cross references. Accordingly, the following format may also be used for identifying provisions of the Will.</w:t>
      </w:r>
    </w:p>
    <w:p>
      <w:pPr>
        <w:keepNext w:val="0"/>
        <w:spacing w:before="200" w:after="0" w:line="260" w:lineRule="exact"/>
        <w:ind w:left="360" w:right="0" w:firstLine="0"/>
        <w:jc w:val="both"/>
      </w:pPr>
      <w:r>
        <w:rPr>
          <w:rFonts w:ascii="Times New Roman" w:hAnsi="Times New Roman" w:eastAsia="Times New Roman" w:cs="Times New Roman"/>
          <w:b w:val="0"/>
          <w:sz w:val="24"/>
        </w:rPr>
        <w:t>Article First</w:t>
      </w:r>
    </w:p>
    <w:p>
      <w:pPr>
        <w:keepNext w:val="0"/>
        <w:spacing w:before="200" w:after="0" w:line="260" w:lineRule="exact"/>
        <w:ind w:left="360" w:right="0" w:firstLine="0"/>
        <w:jc w:val="both"/>
      </w:pPr>
      <w:r>
        <w:rPr>
          <w:rFonts w:ascii="Times New Roman" w:hAnsi="Times New Roman" w:eastAsia="Times New Roman" w:cs="Times New Roman"/>
          <w:b w:val="0"/>
          <w:sz w:val="24"/>
        </w:rPr>
        <w:tab/>
        <w:t xml:space="preserve">Paragraph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ab/>
        <w:tab/>
        <w:t>Subparagraph 2.</w:t>
      </w:r>
    </w:p>
    <w:p>
      <w:pPr>
        <w:keepNext w:val="0"/>
        <w:spacing w:before="200" w:after="0" w:line="260" w:lineRule="exact"/>
        <w:ind w:left="360" w:right="0" w:firstLine="0"/>
        <w:jc w:val="both"/>
      </w:pPr>
      <w:r>
        <w:rPr>
          <w:rFonts w:ascii="Times New Roman" w:hAnsi="Times New Roman" w:eastAsia="Times New Roman" w:cs="Times New Roman"/>
          <w:b w:val="0"/>
          <w:sz w:val="24"/>
        </w:rPr>
        <w:tab/>
        <w:tab/>
        <w:tab/>
        <w:t xml:space="preserve">Section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ab/>
        <w:tab/>
        <w:tab/>
        <w:tab/>
        <w:t>Subsection i.</w:t>
      </w:r>
    </w:p>
    <w:p>
      <w:pPr>
        <w:keepNext w:val="0"/>
        <w:spacing w:before="200" w:after="0" w:line="260" w:lineRule="exact"/>
        <w:ind w:left="360" w:right="0" w:firstLine="0"/>
        <w:jc w:val="both"/>
      </w:pPr>
      <w:r>
        <w:rPr>
          <w:rFonts w:ascii="Times New Roman" w:hAnsi="Times New Roman" w:eastAsia="Times New Roman" w:cs="Times New Roman"/>
          <w:b w:val="0"/>
          <w:sz w:val="24"/>
        </w:rPr>
        <w:tab/>
        <w:tab/>
        <w:tab/>
        <w:tab/>
        <w:tab/>
        <w:t>Clause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ab/>
        <w:tab/>
        <w:tab/>
        <w:tab/>
        <w:tab/>
        <w:tab/>
        <w:t>Subclause (1)</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