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direct my Executor to apply for such note or memorandum to be admitted to probate in accordance with T.C.</w:t>
      </w:r>
      <w:r>
        <w:rPr>
          <w:rFonts w:ascii="Times New Roman" w:hAnsi="Times New Roman" w:eastAsia="Times New Roman" w:cs="Times New Roman"/>
          <w:b/>
          <w:sz w:val="24"/>
        </w:rPr>
        <w:t>A</w:t>
      </w:r>
      <w:r>
        <w:rPr>
          <w:rFonts w:ascii="Times New Roman" w:hAnsi="Times New Roman" w:eastAsia="Times New Roman" w:cs="Times New Roman"/>
          <w:b w:val="0"/>
          <w:sz w:val="24"/>
        </w:rPr>
        <w:t>. § 32-3-115. Regardless of whether or not such note or memorandum is admitted to probate, I direct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cryptocurrency,]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Tennessee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created hereunder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introductory paragraph of and all powers contained in Tenn. Code Ann. §§ 35-50-110 and 35-15-816, which are hereby incorporated into this Will. Such powers shall include any fiduciary powers act or other statute of the State of Tennessee or any other jurisdiction whose law applies to this Will or to any trust hereby created. Except as specifically provided in this Will,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Tennessee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Tennessee.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ninety (90) years, or three hundred and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Tennessee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