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Territory of the U.S. Virgin Islands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or territory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If [name of second successor executor] shall be unable or unwilling to serve, I nominate and appoint as substitute or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permitted by the laws of the Territory of the U.S. Virgin Islands,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Uniform Fiduciary Access to Digital Assets Act and any other applicable federal or state or territory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 as applicable to the U.S. Virgin Islands.</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Territory of the U.S. Virgin Islands</w:t>
      </w:r>
    </w:p>
    <w:p>
      <w:pPr>
        <w:keepNext w:val="0"/>
        <w:spacing w:before="200" w:after="0" w:line="260" w:lineRule="exact"/>
        <w:ind w:left="720" w:right="0" w:firstLine="0"/>
        <w:jc w:val="both"/>
      </w:pPr>
      <w:r>
        <w:rPr>
          <w:rFonts w:ascii="Times New Roman" w:hAnsi="Times New Roman" w:eastAsia="Times New Roman" w:cs="Times New Roman"/>
          <w:b w:val="0"/>
          <w:sz w:val="24"/>
        </w:rPr>
        <w:t>District of [district]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