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Territory of Guam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of Guam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in every jurisdiction in which my Executor or Trustee shall act, including, but not limited to, the powers contained in the Probate Code of Guam,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Territory of Guam</w:t>
      </w:r>
    </w:p>
    <w:p>
      <w:pPr>
        <w:keepNext w:val="0"/>
        <w:spacing w:before="200" w:after="0" w:line="260" w:lineRule="exact"/>
        <w:ind w:left="720" w:right="0" w:firstLine="0"/>
        <w:jc w:val="both"/>
      </w:pPr>
      <w:r>
        <w:rPr>
          <w:rFonts w:ascii="Times New Roman" w:hAnsi="Times New Roman" w:eastAsia="Times New Roman" w:cs="Times New Roman"/>
          <w:b w:val="0"/>
          <w:sz w:val="24"/>
        </w:rPr>
        <w:t>Village of [village]</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