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additional estate tax imposed by the Puerto Rico Internal Revenue Code or generation-skipping transfer tax)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Puerto Rico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Puerto Rico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31 L.P.R.</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5671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32 L.P.R.</w:t>
      </w:r>
      <w:r>
        <w:rPr>
          <w:rFonts w:ascii="Times New Roman" w:hAnsi="Times New Roman" w:eastAsia="Times New Roman" w:cs="Times New Roman"/>
          <w:b/>
          <w:sz w:val="24"/>
        </w:rPr>
        <w:t>A</w:t>
      </w:r>
      <w:r>
        <w:rPr>
          <w:rFonts w:ascii="Times New Roman" w:hAnsi="Times New Roman" w:eastAsia="Times New Roman" w:cs="Times New Roman"/>
          <w:b w:val="0"/>
          <w:sz w:val="24"/>
        </w:rPr>
        <w:t>. §§3352o–3352t,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Puerto Rico Internal Revenue Code of 2011,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Puerto Rico</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