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Personal Representative shall pay the expenses of my last illness and funeral, my valid debts, and expenses of administering my probate estate from the residue of my estate. My Personal Representative may pay expenses of administering my non-probate assets and, to the extent the Personal Representative pays such expenses, they shall be paid from the residue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Estate taxes occasioned by my death shall be allocated and paid in accordance with the directions set forth in the General Governing Provisions of this instrument. This shall include all estate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the residue of my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 [</w:t>
      </w:r>
      <w:r>
        <w:rPr>
          <w:rFonts w:ascii="Times New Roman" w:hAnsi="Times New Roman" w:eastAsia="Times New Roman" w:cs="Times New Roman"/>
          <w:b/>
          <w:sz w:val="24"/>
        </w:rPr>
        <w:t>OR OPTIONAL</w:t>
      </w:r>
      <w:r>
        <w:rPr>
          <w:rFonts w:ascii="Times New Roman" w:hAnsi="Times New Roman" w:eastAsia="Times New Roman" w:cs="Times New Roman"/>
          <w:b w:val="0"/>
          <w:sz w:val="24"/>
        </w:rPr>
        <w:t>: The estate taxes on the items devised in this Article shall be paid from the residue of my estate without apportionment, and I waive on behalf of my estate any right to recover any such estate taxes.] [</w:t>
      </w:r>
      <w:r>
        <w:rPr>
          <w:rFonts w:ascii="Times New Roman" w:hAnsi="Times New Roman" w:eastAsia="Times New Roman" w:cs="Times New Roman"/>
          <w:b/>
          <w:sz w:val="24"/>
        </w:rPr>
        <w:t>OR OPTIONAL</w:t>
      </w:r>
      <w:r>
        <w:rPr>
          <w:rFonts w:ascii="Times New Roman" w:hAnsi="Times New Roman" w:eastAsia="Times New Roman" w:cs="Times New Roman"/>
          <w:b w:val="0"/>
          <w:sz w:val="24"/>
        </w:rPr>
        <w:t xml:space="preserve">: The estate taxes on the items listed below shall be paid from the residue of my estate without apportionment, and I waive on behalf of my estate any right to recover any such estate taxes: specific devises, life insurance, cash, cash equivalents, retirement, and employee benefits payable after death.]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the residue of my estate shall be apportioned within the residue of my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list or memorandum identifying certain articles of tangible personal property, as defined below, and the persons to whom I give such tangible personal property. If I do leave such a handwritten list or memorandum, I request my Personal Representative to distribute the tangible personal property listed therein as if the terms of the list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 </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the residue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the residue of my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THE RESIDUE OF MY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over which I may have any power of appointment or testamentary disposition, including any lapsed dispositions] (the residue of my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residue of my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Minnesota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[OPTIONAL: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Minnesota Uniform Fiduciary Access to Digital Assets Act at Section 521A.01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Minnesota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Minnesota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(Signed)_________________________________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