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Executor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Territory of the U.S. Virgin Islands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a trust created hereunder] is a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or territory (including a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as Executor of my Will. If [name of first successor executor] shall be unable or unwilling to serve, I nominate and appoint my [relationship of second successor executor to testator], [name of second successor executor], as Executor of my Will. If [name of second successor executor] shall be unable or unwilling to serve, I nominate and appoint as substitute or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as well as Trustees, if any, shall receive reasonable compensation for the duties performed in accordance with this instrument and any trusts created hereunder. Reasonable compensation for an individual Executor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powers permitted by the laws of the Territory of the U.S. Virgin Islands,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Uniform Fiduciary Access to Digital Assets Act and any other applicable federal or state or territory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 as applicable to the U.S. Virgin Islands.</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Territory of the U.S. Virgin Islands</w:t>
      </w:r>
    </w:p>
    <w:p>
      <w:pPr>
        <w:keepNext w:val="0"/>
        <w:spacing w:before="200" w:after="0" w:line="260" w:lineRule="exact"/>
        <w:ind w:left="720" w:right="0" w:firstLine="0"/>
        <w:jc w:val="both"/>
      </w:pPr>
      <w:r>
        <w:rPr>
          <w:rFonts w:ascii="Times New Roman" w:hAnsi="Times New Roman" w:eastAsia="Times New Roman" w:cs="Times New Roman"/>
          <w:b w:val="0"/>
          <w:sz w:val="24"/>
        </w:rPr>
        <w:t>District of [district]</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subscribing witnesses, having been duly sworn, declare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a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