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New York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N.Y. Ltd. Liab. Co. Law § 408,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New York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w:t>
      </w:r>
      <w:r>
        <w:rPr>
          <w:rFonts w:ascii="Times New Roman" w:hAnsi="Times New Roman" w:eastAsia="Times New Roman" w:cs="Times New Roman"/>
          <w:sz w:val="24"/>
        </w:rPr>
        <w:t>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r>
        <w:rPr>
          <w:rFonts w:ascii="Times New Roman" w:hAnsi="Times New Roman" w:eastAsia="Times New Roman" w:cs="Times New Roman"/>
          <w:sz w:val="24"/>
        </w:rPr>
        <w:t>[</w:t>
      </w:r>
      <w:r>
        <w:rPr>
          <w:rFonts w:ascii="Times New Roman" w:hAnsi="Times New Roman" w:eastAsia="Times New Roman" w:cs="Times New Roman"/>
          <w:sz w:val="24"/>
        </w:rPr>
        <w:t xml:space="preserve">name of manager entity], a </w:t>
      </w:r>
      <w:r>
        <w:rPr>
          <w:rFonts w:ascii="Times New Roman" w:hAnsi="Times New Roman" w:eastAsia="Times New Roman" w:cs="Times New Roman"/>
          <w:sz w:val="24"/>
        </w:rPr>
        <w:t>[</w:t>
      </w:r>
      <w:r>
        <w:rPr>
          <w:rFonts w:ascii="Times New Roman" w:hAnsi="Times New Roman" w:eastAsia="Times New Roman" w:cs="Times New Roman"/>
          <w:sz w:val="24"/>
        </w:rPr>
        <w:t xml:space="preserve">state of organization] </w:t>
      </w:r>
      <w:r>
        <w:rPr>
          <w:rFonts w:ascii="Times New Roman" w:hAnsi="Times New Roman" w:eastAsia="Times New Roman" w:cs="Times New Roman"/>
          <w:sz w:val="24"/>
        </w:rPr>
        <w:t>[</w:t>
      </w:r>
      <w:r>
        <w:rPr>
          <w:rFonts w:ascii="Times New Roman" w:hAnsi="Times New Roman" w:eastAsia="Times New Roman" w:cs="Times New Roman"/>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