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Ohio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Ohio Rev. Code Ann. § 1705.29 [</w:t>
      </w:r>
      <w:r>
        <w:rPr>
          <w:rFonts w:ascii="Times New Roman" w:hAnsi="Times New Roman" w:eastAsia="Times New Roman" w:cs="Times New Roman"/>
          <w:b/>
          <w:sz w:val="24"/>
        </w:rPr>
        <w:t>Optional Provision</w:t>
      </w:r>
      <w:r>
        <w:rPr>
          <w:rFonts w:ascii="Times New Roman" w:hAnsi="Times New Roman" w:eastAsia="Times New Roman" w:cs="Times New Roman"/>
          <w:b w:val="0"/>
          <w:sz w:val="24"/>
        </w:rPr>
        <w:t>: and in accordance with]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Ohio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refinance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manager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