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Manager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Action by Written Consent of the Manager of</w:t>
      </w:r>
      <w:r>
        <w:rPr>
          <w:rFonts w:ascii="Times New Roman" w:hAnsi="Times New Roman" w:eastAsia="Times New Roman" w:cs="Times New Roman"/>
          <w:b w:val="0"/>
          <w:sz w:val="24"/>
        </w:rPr>
        <w:t xml:space="preserve"> [limited liability company name] </w:t>
      </w:r>
      <w:r>
        <w:rPr>
          <w:rFonts w:ascii="Times New Roman" w:hAnsi="Times New Roman" w:eastAsia="Times New Roman" w:cs="Times New Roman"/>
          <w:b/>
          <w:sz w:val="24"/>
        </w:rPr>
        <w:t>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manager of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Pennsylvania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Pennsylvania 15 Pa. Cons. Stat. Ann. § 8847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and in accordance with] [the relevant provisions of the limited liability company operating agreement, if applicable],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is the fee owner of certain real property located at [street address] [city], Pennsylvania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and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b w:val="0"/>
          <w:sz w:val="24"/>
        </w:rPr>
        <w:t xml:space="preserve">”), have agreed to refinance the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from Lender,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Loan Documents hereby are approved, and that any of the Designated Officers be, and each of them hereby is, authorized, empowered, and directed, in the name and on behalf of the Company, to execute and deliver the Loan Documents in substantially the form presented to the manager of the Company, with such changes therein, additions thereto and deletions therefrom as such Designated Officer or Designated Officers shall approve, such approval to be conclusively evidenced by the execution of the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manager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of 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