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THE MANAGERS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 [relevant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[reference to the relevant provisions of the Company's operating agreement],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of the actions taken and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is executed on the dates written beside each Manager's name and will be effective [immediately upon the later of such dates / as of [date]], and will be filed in the Company's corporate records.</w:t>
      </w:r>
    </w:p>
    <w:p>
      <w:pPr>
        <w:keepNext w:val="0"/>
        <w:spacing w:before="200" w:after="0" w:line="260" w:lineRule="exact"/>
        <w:ind w:left="720" w:right="0" w:firstLine="0"/>
        <w:jc w:val="both"/>
      </w:pPr>
      <w:r>
        <w:rPr>
          <w:rFonts w:ascii="Times New Roman" w:hAnsi="Times New Roman" w:eastAsia="Times New Roman" w:cs="Times New Roman"/>
          <w:b w:val="0"/>
          <w:sz w:val="24"/>
        </w:rPr>
        <w:t>[OPERATIVE RESOLUTIONS AND ANY CORRESPONDING RECITALS]</w:t>
      </w:r>
    </w:p>
    <w:p>
      <w:pPr>
        <w:keepNext w:val="0"/>
        <w:spacing w:before="120" w:after="0" w:line="260" w:lineRule="exact"/>
        <w:ind w:left="720" w:right="0" w:firstLine="0"/>
        <w:jc w:val="left"/>
      </w:pPr>
      <w:r>
        <w:rPr>
          <w:rFonts w:ascii="Times New Roman" w:hAnsi="Times New Roman" w:eastAsia="Times New Roman" w:cs="Times New Roman"/>
          <w:b w:val="0"/>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fax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