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Members of [name of limited liability company],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members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Louisiana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pursuant to the authority of the Louisiana Limited Liability Company Law, as amended and Section [section number] of the [Articles of Organization / Operating Agreement] of the Company, dated [date] [</w:t>
      </w:r>
      <w:r>
        <w:rPr>
          <w:rFonts w:ascii="Times New Roman" w:hAnsi="Times New Roman" w:eastAsia="Times New Roman" w:cs="Times New Roman"/>
          <w:b w:val="0"/>
          <w:sz w:val="24"/>
        </w:rPr>
        <w:t>add amended</w:t>
      </w:r>
      <w:r>
        <w:rPr>
          <w:rFonts w:ascii="Times New Roman" w:hAnsi="Times New Roman" w:eastAsia="Times New Roman" w:cs="Times New Roman"/>
          <w:b w:val="0"/>
          <w:sz w:val="24"/>
        </w:rPr>
        <w:t xml:space="preserve"> Articles of Organization / Operating Agreement, </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xml:space="preserve">], hereby consent to, authorize and adopt the following resolutions with the same force and effect as if the undersigned were personally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and had voted for the same:</w:t>
      </w:r>
    </w:p>
    <w:p>
      <w:pPr>
        <w:keepNext w:val="0"/>
        <w:spacing w:before="120" w:after="0" w:line="260" w:lineRule="exact"/>
        <w:ind w:left="1080" w:right="0" w:firstLine="0"/>
        <w:jc w:val="left"/>
      </w:pPr>
      <w:r>
        <w:rPr>
          <w:rFonts w:ascii="Times New Roman" w:hAnsi="Times New Roman" w:eastAsia="Times New Roman" w:cs="Times New Roman"/>
          <w:b/>
          <w:sz w:val="24"/>
        </w:rPr>
        <w:t>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BE IT RESOLVED, that</w:t>
      </w:r>
    </w:p>
    <w:p>
      <w:pPr>
        <w:keepNext w:val="0"/>
        <w:spacing w:before="200" w:after="0" w:line="260" w:lineRule="exact"/>
        <w:ind w:left="180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w:t>
      </w:r>
    </w:p>
    <w:p>
      <w:pPr>
        <w:keepNext w:val="0"/>
        <w:spacing w:before="200" w:after="0" w:line="260" w:lineRule="exact"/>
        <w:ind w:left="180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 the members and manager of the Company be, and hereby are, authorized and directed to execute and deliver, in the name and on behalf of the Company, any and all agreements, documents, or instruments, and take such actions as may be necessary or advisable to effect the intent of the resolutions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this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of which, taken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