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Maryland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the Maryland Limited Liability Company Act, as amended and Section [section number] of the Operating Agreement of the Company, dated [date] [</w:t>
      </w:r>
      <w:r>
        <w:rPr>
          <w:rFonts w:ascii="Times New Roman" w:hAnsi="Times New Roman" w:eastAsia="Times New Roman" w:cs="Times New Roman"/>
          <w:b w:val="0"/>
          <w:sz w:val="24"/>
        </w:rPr>
        <w:t>add amended Operating Agreement, if applicable</w:t>
      </w:r>
      <w:r>
        <w:rPr>
          <w:rFonts w:ascii="Times New Roman" w:hAnsi="Times New Roman" w:eastAsia="Times New Roman" w:cs="Times New Roman"/>
          <w:b w:val="0"/>
          <w:sz w:val="24"/>
        </w:rPr>
        <w:t xml:space="preserve">],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1080" w:right="0" w:firstLine="0"/>
        <w:jc w:val="left"/>
      </w:pPr>
      <w:r>
        <w:rPr>
          <w:rFonts w:ascii="Times New Roman" w:hAnsi="Times New Roman" w:eastAsia="Times New Roman" w:cs="Times New Roman"/>
          <w:b/>
          <w:sz w:val="24"/>
        </w:rPr>
        <w:t>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80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80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