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the Missouri Limited Liability Company Act, as amended and Section [section number] of the Operating Agreement of the Company, dated [date] [</w:t>
      </w:r>
      <w:r>
        <w:rPr>
          <w:rFonts w:ascii="Times New Roman" w:hAnsi="Times New Roman" w:eastAsia="Times New Roman" w:cs="Times New Roman"/>
          <w:b w:val="0"/>
          <w:sz w:val="24"/>
        </w:rPr>
        <w:t>add amended Operating Agreement, if applicable</w:t>
      </w:r>
      <w:r>
        <w:rPr>
          <w:rFonts w:ascii="Times New Roman" w:hAnsi="Times New Roman" w:eastAsia="Times New Roman" w:cs="Times New Roman"/>
          <w:b w:val="0"/>
          <w:sz w:val="24"/>
        </w:rPr>
        <w:t xml:space="preserv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80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80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