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Washington limited liability company act, as amended and Section [section number] of the Limited Liability Company Agreement of the Company, dated [date] [</w:t>
      </w:r>
      <w:r>
        <w:rPr>
          <w:rFonts w:ascii="Times New Roman" w:hAnsi="Times New Roman" w:eastAsia="Times New Roman" w:cs="Times New Roman"/>
          <w:b w:val="0"/>
          <w:sz w:val="24"/>
        </w:rPr>
        <w:t>add amended Limited Liability Company Agreement, if applicable</w:t>
      </w:r>
      <w:r>
        <w:rPr>
          <w:rFonts w:ascii="Times New Roman" w:hAnsi="Times New Roman" w:eastAsia="Times New Roman" w:cs="Times New Roman"/>
          <w:b w:val="0"/>
          <w:sz w:val="24"/>
        </w:rPr>
        <w:t xml:space="preserv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80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80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